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pStyle w:val="2"/>
        <w:rPr>
          <w:rFonts w:hint="default"/>
          <w:lang w:val="en-US" w:eastAsia="zh-CN"/>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77193"/>
      <w:bookmarkStart w:id="3" w:name="_Toc15377425"/>
      <w:bookmarkStart w:id="4" w:name="_Toc15396597"/>
      <w:bookmarkStart w:id="5" w:name="_Toc1539647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78442"/>
      <w:bookmarkStart w:id="7" w:name="_Toc15377194"/>
      <w:bookmarkStart w:id="8" w:name="_Toc15377426"/>
      <w:bookmarkStart w:id="9" w:name="_Toc15396598"/>
      <w:bookmarkStart w:id="10" w:name="_Toc1539647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巴中市军粮供应管理中心</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r>
        <w:rPr>
          <w:rFonts w:hint="eastAsia" w:ascii="方正小标宋简体" w:hAnsi="方正小标宋简体" w:eastAsia="方正小标宋简体" w:cs="方正小标宋简体"/>
          <w:color w:val="auto"/>
          <w:sz w:val="72"/>
          <w:szCs w:val="72"/>
          <w:highlight w:val="none"/>
          <w:lang w:eastAsia="zh-CN"/>
        </w:rPr>
        <w:t>公开编制说明</w:t>
      </w:r>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1"/>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一、职能</w:t>
      </w:r>
      <w:r>
        <w:rPr>
          <w:rFonts w:hint="eastAsia"/>
          <w:color w:val="auto"/>
          <w:sz w:val="24"/>
          <w:highlight w:val="none"/>
          <w:lang w:eastAsia="zh-CN"/>
        </w:rPr>
        <w:t>简介</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p>
    <w:p>
      <w:pPr>
        <w:pStyle w:val="10"/>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p>
    <w:p>
      <w:pPr>
        <w:pStyle w:val="11"/>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w:t>
      </w:r>
      <w:r>
        <w:rPr>
          <w:rFonts w:hint="eastAsia" w:ascii="仿宋" w:hAnsi="仿宋" w:eastAsia="仿宋"/>
          <w:color w:val="auto"/>
          <w:sz w:val="24"/>
          <w:highlight w:val="none"/>
          <w:lang w:eastAsia="zh-CN"/>
        </w:rPr>
        <w:t>单位</w:t>
      </w:r>
      <w:r>
        <w:rPr>
          <w:rFonts w:hint="eastAsia" w:ascii="仿宋" w:hAnsi="仿宋" w:eastAsia="仿宋"/>
          <w:color w:val="auto"/>
          <w:sz w:val="24"/>
          <w:highlight w:val="none"/>
        </w:rPr>
        <w:t>根据实际注明页码</w:t>
      </w:r>
      <w:r>
        <w:rPr>
          <w:rFonts w:ascii="仿宋" w:hAnsi="仿宋" w:eastAsia="仿宋"/>
          <w:color w:val="auto"/>
          <w:sz w:val="24"/>
          <w:highlight w:val="none"/>
        </w:rPr>
        <w:t>)</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jc w:val="center"/>
        <w:rPr>
          <w:rStyle w:val="24"/>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snapToGrid w:val="0"/>
        <w:spacing w:line="520" w:lineRule="exact"/>
        <w:ind w:firstLine="640" w:firstLineChars="200"/>
        <w:rPr>
          <w:rFonts w:hint="eastAsia"/>
          <w:color w:val="auto"/>
          <w:highlight w:val="none"/>
        </w:rPr>
      </w:pPr>
      <w:bookmarkStart w:id="14" w:name="_Toc15377197"/>
      <w:bookmarkStart w:id="15" w:name="_Toc15396600"/>
      <w:r>
        <w:rPr>
          <w:rStyle w:val="25"/>
          <w:rFonts w:hint="eastAsia" w:ascii="黑体" w:hAnsi="黑体" w:eastAsia="黑体"/>
          <w:b w:val="0"/>
          <w:bCs w:val="0"/>
          <w:color w:val="auto"/>
          <w:highlight w:val="none"/>
          <w:lang w:eastAsia="zh-CN"/>
        </w:rPr>
        <w:t>一、</w:t>
      </w:r>
      <w:r>
        <w:rPr>
          <w:rStyle w:val="25"/>
          <w:rFonts w:hint="eastAsia" w:ascii="黑体" w:hAnsi="黑体" w:eastAsia="黑体"/>
          <w:b w:val="0"/>
          <w:bCs w:val="0"/>
          <w:color w:val="auto"/>
          <w:highlight w:val="none"/>
        </w:rPr>
        <w:t>职能</w:t>
      </w:r>
      <w:r>
        <w:rPr>
          <w:rStyle w:val="25"/>
          <w:rFonts w:hint="eastAsia" w:ascii="黑体" w:hAnsi="黑体" w:eastAsia="黑体"/>
          <w:b w:val="0"/>
          <w:bCs w:val="0"/>
          <w:color w:val="auto"/>
          <w:highlight w:val="none"/>
          <w:lang w:eastAsia="zh-CN"/>
        </w:rPr>
        <w:t>简介：</w:t>
      </w:r>
      <w:r>
        <w:rPr>
          <w:rFonts w:hint="eastAsia" w:ascii="Calibri" w:hAnsi="Calibri" w:eastAsia="宋体" w:cs="Times New Roman"/>
          <w:bCs/>
          <w:color w:val="000000"/>
          <w:sz w:val="32"/>
          <w:szCs w:val="32"/>
          <w:lang w:val="en-US" w:eastAsia="zh-CN"/>
        </w:rPr>
        <w:t>负责全市政策性粮油补贴收入结算和拨补、政策性粮油资金的统管和调拨、省市专项储备粮食管理、市所在地驻军（部队、武警、消防官兵）粮油供应和票证管理等工作中的具体事务工作；完成上级交办的其他任务。</w:t>
      </w:r>
    </w:p>
    <w:p>
      <w:pPr>
        <w:pStyle w:val="4"/>
        <w:numPr>
          <w:ilvl w:val="0"/>
          <w:numId w:val="0"/>
        </w:numPr>
        <w:rPr>
          <w:rFonts w:hint="eastAsia" w:ascii="黑体" w:hAnsi="黑体" w:eastAsia="黑体"/>
          <w:b w:val="0"/>
          <w:color w:val="auto"/>
          <w:highlight w:val="none"/>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autoSpaceDE w:val="0"/>
        <w:spacing w:line="560" w:lineRule="exact"/>
        <w:ind w:firstLine="320" w:firstLineChars="100"/>
        <w:jc w:val="left"/>
        <w:rPr>
          <w:rFonts w:hint="eastAsia" w:ascii="宋体" w:hAnsi="宋体" w:eastAsia="宋体" w:cs="宋体"/>
          <w:bCs/>
          <w:sz w:val="32"/>
          <w:szCs w:val="32"/>
          <w:lang w:eastAsia="zh-CN"/>
        </w:rPr>
      </w:pPr>
      <w:r>
        <w:rPr>
          <w:rFonts w:hint="eastAsia" w:ascii="宋体" w:hAnsi="宋体" w:cs="宋体"/>
          <w:sz w:val="32"/>
          <w:szCs w:val="32"/>
          <w:lang w:val="en-US" w:eastAsia="zh-CN"/>
        </w:rPr>
        <w:t>1</w:t>
      </w:r>
      <w:r>
        <w:rPr>
          <w:rFonts w:hint="eastAsia" w:ascii="宋体" w:hAnsi="宋体" w:eastAsia="宋体" w:cs="宋体"/>
          <w:sz w:val="32"/>
          <w:szCs w:val="32"/>
          <w:lang w:eastAsia="zh-CN"/>
        </w:rPr>
        <w:t>、</w:t>
      </w:r>
      <w:r>
        <w:rPr>
          <w:rFonts w:hint="eastAsia" w:ascii="宋体" w:hAnsi="宋体" w:eastAsia="宋体" w:cs="宋体"/>
          <w:bCs/>
          <w:sz w:val="32"/>
          <w:szCs w:val="32"/>
        </w:rPr>
        <w:t>强化政治意识，确保军粮供应工作保持正确方向</w:t>
      </w:r>
      <w:r>
        <w:rPr>
          <w:rFonts w:hint="eastAsia" w:ascii="宋体" w:hAnsi="宋体" w:eastAsia="宋体" w:cs="宋体"/>
          <w:bCs/>
          <w:sz w:val="32"/>
          <w:szCs w:val="32"/>
          <w:lang w:eastAsia="zh-CN"/>
        </w:rPr>
        <w:t>；</w:t>
      </w:r>
    </w:p>
    <w:p>
      <w:pPr>
        <w:autoSpaceDE w:val="0"/>
        <w:spacing w:line="560" w:lineRule="exact"/>
        <w:ind w:firstLine="320" w:firstLineChars="100"/>
        <w:jc w:val="left"/>
        <w:rPr>
          <w:rFonts w:hint="eastAsia" w:ascii="宋体" w:hAnsi="宋体" w:eastAsia="宋体" w:cs="宋体"/>
          <w:bCs/>
          <w:sz w:val="32"/>
          <w:szCs w:val="32"/>
          <w:lang w:eastAsia="zh-CN"/>
        </w:rPr>
      </w:pPr>
      <w:r>
        <w:rPr>
          <w:rFonts w:hint="eastAsia" w:ascii="宋体" w:hAnsi="宋体" w:cs="宋体"/>
          <w:sz w:val="32"/>
          <w:szCs w:val="32"/>
          <w:lang w:val="en-US" w:eastAsia="zh-CN"/>
        </w:rPr>
        <w:t>2</w:t>
      </w:r>
      <w:r>
        <w:rPr>
          <w:rFonts w:hint="eastAsia" w:ascii="宋体" w:hAnsi="宋体" w:eastAsia="宋体" w:cs="宋体"/>
          <w:sz w:val="32"/>
          <w:szCs w:val="32"/>
          <w:lang w:eastAsia="zh-CN"/>
        </w:rPr>
        <w:t>、</w:t>
      </w:r>
      <w:r>
        <w:rPr>
          <w:rFonts w:hint="eastAsia" w:ascii="宋体" w:hAnsi="宋体" w:eastAsia="宋体" w:cs="宋体"/>
          <w:bCs/>
          <w:sz w:val="32"/>
          <w:szCs w:val="32"/>
        </w:rPr>
        <w:t>优化工作措施，常态化抓好军粮供应各项工作</w:t>
      </w:r>
      <w:r>
        <w:rPr>
          <w:rFonts w:hint="eastAsia" w:ascii="宋体" w:hAnsi="宋体" w:eastAsia="宋体" w:cs="宋体"/>
          <w:bCs/>
          <w:sz w:val="32"/>
          <w:szCs w:val="32"/>
          <w:lang w:eastAsia="zh-CN"/>
        </w:rPr>
        <w:t>；</w:t>
      </w:r>
    </w:p>
    <w:p>
      <w:pPr>
        <w:autoSpaceDE w:val="0"/>
        <w:spacing w:line="560" w:lineRule="exact"/>
        <w:ind w:firstLine="320" w:firstLineChars="100"/>
        <w:jc w:val="left"/>
        <w:rPr>
          <w:rFonts w:hint="eastAsia" w:ascii="宋体" w:hAnsi="宋体" w:eastAsia="宋体" w:cs="宋体"/>
          <w:bCs/>
          <w:sz w:val="32"/>
          <w:szCs w:val="32"/>
          <w:lang w:eastAsia="zh-CN"/>
        </w:rPr>
      </w:pPr>
      <w:r>
        <w:rPr>
          <w:rFonts w:hint="eastAsia" w:ascii="宋体" w:hAnsi="宋体" w:cs="宋体"/>
          <w:sz w:val="32"/>
          <w:szCs w:val="32"/>
          <w:lang w:val="en-US" w:eastAsia="zh-CN"/>
        </w:rPr>
        <w:t>3</w:t>
      </w:r>
      <w:r>
        <w:rPr>
          <w:rFonts w:hint="eastAsia" w:ascii="宋体" w:hAnsi="宋体" w:eastAsia="宋体" w:cs="宋体"/>
          <w:sz w:val="32"/>
          <w:szCs w:val="32"/>
          <w:lang w:eastAsia="zh-CN"/>
        </w:rPr>
        <w:t>、</w:t>
      </w:r>
      <w:r>
        <w:rPr>
          <w:rFonts w:hint="eastAsia" w:ascii="宋体" w:hAnsi="宋体" w:eastAsia="宋体" w:cs="宋体"/>
          <w:bCs/>
          <w:sz w:val="32"/>
          <w:szCs w:val="32"/>
        </w:rPr>
        <w:t>狠抓项目工作，促进军供工作可持续发展</w:t>
      </w:r>
      <w:r>
        <w:rPr>
          <w:rFonts w:hint="eastAsia" w:ascii="宋体" w:hAnsi="宋体" w:eastAsia="宋体" w:cs="宋体"/>
          <w:bCs/>
          <w:sz w:val="32"/>
          <w:szCs w:val="32"/>
          <w:lang w:eastAsia="zh-CN"/>
        </w:rPr>
        <w:t>；</w:t>
      </w:r>
    </w:p>
    <w:p>
      <w:pPr>
        <w:numPr>
          <w:ilvl w:val="0"/>
          <w:numId w:val="0"/>
        </w:numPr>
        <w:autoSpaceDE w:val="0"/>
        <w:spacing w:line="560" w:lineRule="exact"/>
        <w:ind w:firstLine="320" w:firstLineChars="100"/>
        <w:jc w:val="left"/>
        <w:rPr>
          <w:rFonts w:hint="eastAsia" w:ascii="宋体" w:hAnsi="宋体" w:eastAsia="宋体" w:cs="宋体"/>
          <w:bCs/>
          <w:sz w:val="32"/>
          <w:szCs w:val="32"/>
          <w:lang w:eastAsia="zh-CN"/>
        </w:rPr>
      </w:pPr>
      <w:r>
        <w:rPr>
          <w:rFonts w:hint="eastAsia" w:ascii="宋体" w:hAnsi="宋体" w:cs="宋体"/>
          <w:sz w:val="32"/>
          <w:szCs w:val="32"/>
          <w:lang w:val="en-US" w:eastAsia="zh-CN"/>
        </w:rPr>
        <w:t>4</w:t>
      </w:r>
      <w:r>
        <w:rPr>
          <w:rFonts w:hint="eastAsia" w:ascii="宋体" w:hAnsi="宋体" w:eastAsia="宋体" w:cs="宋体"/>
          <w:sz w:val="32"/>
          <w:szCs w:val="32"/>
          <w:lang w:eastAsia="zh-CN"/>
        </w:rPr>
        <w:t>、</w:t>
      </w:r>
      <w:r>
        <w:rPr>
          <w:rFonts w:hint="eastAsia" w:ascii="宋体" w:hAnsi="宋体" w:eastAsia="宋体" w:cs="宋体"/>
          <w:bCs/>
          <w:sz w:val="32"/>
          <w:szCs w:val="32"/>
        </w:rPr>
        <w:t>密切协调配合，高质量完成专项资金审计工作</w:t>
      </w:r>
      <w:r>
        <w:rPr>
          <w:rFonts w:hint="eastAsia" w:ascii="宋体" w:hAnsi="宋体" w:eastAsia="宋体" w:cs="宋体"/>
          <w:bCs/>
          <w:sz w:val="32"/>
          <w:szCs w:val="32"/>
          <w:lang w:eastAsia="zh-CN"/>
        </w:rPr>
        <w:t>；</w:t>
      </w:r>
    </w:p>
    <w:p>
      <w:pPr>
        <w:numPr>
          <w:ilvl w:val="0"/>
          <w:numId w:val="0"/>
        </w:numPr>
        <w:autoSpaceDE w:val="0"/>
        <w:spacing w:line="560" w:lineRule="exact"/>
        <w:ind w:firstLine="320" w:firstLineChars="100"/>
        <w:jc w:val="left"/>
        <w:rPr>
          <w:rFonts w:hint="eastAsia" w:ascii="宋体" w:hAnsi="宋体" w:eastAsia="宋体" w:cs="宋体"/>
          <w:bCs/>
          <w:sz w:val="32"/>
          <w:szCs w:val="32"/>
        </w:rPr>
      </w:pPr>
      <w:r>
        <w:rPr>
          <w:rFonts w:hint="eastAsia" w:ascii="宋体" w:hAnsi="宋体" w:cs="宋体"/>
          <w:sz w:val="32"/>
          <w:szCs w:val="32"/>
          <w:lang w:val="en-US" w:eastAsia="zh-CN"/>
        </w:rPr>
        <w:t>5</w:t>
      </w:r>
      <w:r>
        <w:rPr>
          <w:rFonts w:hint="eastAsia" w:ascii="宋体" w:hAnsi="宋体" w:eastAsia="宋体" w:cs="宋体"/>
          <w:sz w:val="32"/>
          <w:szCs w:val="32"/>
          <w:lang w:eastAsia="zh-CN"/>
        </w:rPr>
        <w:t>、</w:t>
      </w:r>
      <w:r>
        <w:rPr>
          <w:rFonts w:hint="eastAsia" w:ascii="宋体" w:hAnsi="宋体" w:eastAsia="宋体" w:cs="宋体"/>
          <w:bCs/>
          <w:sz w:val="32"/>
          <w:szCs w:val="32"/>
        </w:rPr>
        <w:t>加强沟通联系，深入部队驻地开展走访慰问</w:t>
      </w:r>
      <w:r>
        <w:rPr>
          <w:rFonts w:hint="eastAsia" w:ascii="宋体" w:hAnsi="宋体" w:eastAsia="宋体" w:cs="宋体"/>
          <w:sz w:val="32"/>
          <w:szCs w:val="32"/>
        </w:rPr>
        <w:t>;</w:t>
      </w:r>
    </w:p>
    <w:p>
      <w:pPr>
        <w:numPr>
          <w:ilvl w:val="0"/>
          <w:numId w:val="0"/>
        </w:numPr>
        <w:autoSpaceDE w:val="0"/>
        <w:spacing w:line="560" w:lineRule="exact"/>
        <w:ind w:firstLine="320" w:firstLineChars="100"/>
        <w:jc w:val="left"/>
        <w:rPr>
          <w:rFonts w:hint="eastAsia" w:ascii="宋体" w:hAnsi="宋体" w:eastAsia="宋体" w:cs="宋体"/>
          <w:bCs/>
          <w:sz w:val="32"/>
          <w:szCs w:val="32"/>
          <w:lang w:eastAsia="zh-CN"/>
        </w:rPr>
      </w:pPr>
      <w:r>
        <w:rPr>
          <w:rFonts w:hint="eastAsia" w:ascii="宋体" w:hAnsi="宋体" w:cs="宋体"/>
          <w:sz w:val="32"/>
          <w:szCs w:val="32"/>
          <w:lang w:val="en-US" w:eastAsia="zh-CN"/>
        </w:rPr>
        <w:t>6</w:t>
      </w:r>
      <w:r>
        <w:rPr>
          <w:rFonts w:hint="eastAsia" w:ascii="宋体" w:hAnsi="宋体" w:eastAsia="宋体" w:cs="宋体"/>
          <w:sz w:val="32"/>
          <w:szCs w:val="32"/>
          <w:lang w:eastAsia="zh-CN"/>
        </w:rPr>
        <w:t>、</w:t>
      </w:r>
      <w:r>
        <w:rPr>
          <w:rFonts w:hint="eastAsia" w:ascii="宋体" w:hAnsi="宋体" w:eastAsia="宋体" w:cs="宋体"/>
          <w:bCs/>
          <w:sz w:val="32"/>
          <w:szCs w:val="32"/>
        </w:rPr>
        <w:t>强化工作举措，常态化抓好保密工作</w:t>
      </w:r>
      <w:r>
        <w:rPr>
          <w:rFonts w:hint="eastAsia" w:ascii="宋体" w:hAnsi="宋体" w:eastAsia="宋体" w:cs="宋体"/>
          <w:bCs/>
          <w:sz w:val="32"/>
          <w:szCs w:val="32"/>
          <w:lang w:eastAsia="zh-CN"/>
        </w:rPr>
        <w:t>；</w:t>
      </w:r>
    </w:p>
    <w:p>
      <w:pPr>
        <w:autoSpaceDE w:val="0"/>
        <w:spacing w:line="560" w:lineRule="exact"/>
        <w:ind w:firstLine="298" w:firstLineChars="100"/>
        <w:jc w:val="left"/>
        <w:rPr>
          <w:rFonts w:hint="eastAsia" w:ascii="宋体" w:hAnsi="宋体" w:eastAsia="宋体" w:cs="宋体"/>
          <w:bCs/>
          <w:spacing w:val="-11"/>
          <w:sz w:val="32"/>
          <w:szCs w:val="32"/>
          <w:lang w:eastAsia="zh-CN"/>
        </w:rPr>
      </w:pPr>
      <w:r>
        <w:rPr>
          <w:rFonts w:hint="eastAsia" w:ascii="宋体" w:hAnsi="宋体" w:cs="宋体"/>
          <w:bCs/>
          <w:spacing w:val="-11"/>
          <w:sz w:val="32"/>
          <w:szCs w:val="32"/>
          <w:lang w:val="en-US" w:eastAsia="zh-CN"/>
        </w:rPr>
        <w:t>7</w:t>
      </w:r>
      <w:r>
        <w:rPr>
          <w:rFonts w:hint="eastAsia" w:ascii="宋体" w:hAnsi="宋体" w:eastAsia="宋体" w:cs="宋体"/>
          <w:bCs/>
          <w:spacing w:val="-11"/>
          <w:sz w:val="32"/>
          <w:szCs w:val="32"/>
          <w:lang w:eastAsia="zh-CN"/>
        </w:rPr>
        <w:t>、</w:t>
      </w:r>
      <w:r>
        <w:rPr>
          <w:rFonts w:hint="eastAsia" w:ascii="宋体" w:hAnsi="宋体" w:eastAsia="宋体" w:cs="宋体"/>
          <w:bCs/>
          <w:spacing w:val="-11"/>
          <w:sz w:val="32"/>
          <w:szCs w:val="32"/>
        </w:rPr>
        <w:t>毫不松懈，扎实开展疫情防控、创文“保卫”、安全工作</w:t>
      </w:r>
      <w:r>
        <w:rPr>
          <w:rFonts w:hint="eastAsia" w:ascii="宋体" w:hAnsi="宋体" w:eastAsia="宋体" w:cs="宋体"/>
          <w:bCs/>
          <w:spacing w:val="-11"/>
          <w:sz w:val="32"/>
          <w:szCs w:val="32"/>
          <w:lang w:eastAsia="zh-CN"/>
        </w:rPr>
        <w:t>；</w:t>
      </w:r>
    </w:p>
    <w:p>
      <w:pPr>
        <w:autoSpaceDE w:val="0"/>
        <w:spacing w:line="560" w:lineRule="exact"/>
        <w:ind w:firstLine="320" w:firstLineChars="100"/>
        <w:jc w:val="left"/>
        <w:rPr>
          <w:rFonts w:hint="eastAsia" w:ascii="宋体" w:hAnsi="宋体" w:eastAsia="宋体" w:cs="宋体"/>
          <w:sz w:val="32"/>
          <w:szCs w:val="32"/>
        </w:rPr>
      </w:pPr>
      <w:r>
        <w:rPr>
          <w:rFonts w:hint="eastAsia" w:ascii="宋体" w:hAnsi="宋体" w:cs="宋体"/>
          <w:bCs/>
          <w:sz w:val="32"/>
          <w:szCs w:val="32"/>
          <w:lang w:val="en-US" w:eastAsia="zh-CN"/>
        </w:rPr>
        <w:t>8</w:t>
      </w:r>
      <w:r>
        <w:rPr>
          <w:rFonts w:hint="eastAsia" w:ascii="宋体" w:hAnsi="宋体" w:eastAsia="宋体" w:cs="宋体"/>
          <w:bCs/>
          <w:sz w:val="32"/>
          <w:szCs w:val="32"/>
          <w:lang w:eastAsia="zh-CN"/>
        </w:rPr>
        <w:t>、</w:t>
      </w:r>
      <w:r>
        <w:rPr>
          <w:rFonts w:hint="eastAsia" w:ascii="宋体" w:hAnsi="宋体" w:eastAsia="宋体" w:cs="宋体"/>
          <w:bCs/>
          <w:sz w:val="32"/>
          <w:szCs w:val="32"/>
        </w:rPr>
        <w:t>落实帮扶责任，搞好脱贫攻坚和乡村振兴有机衔接</w:t>
      </w:r>
      <w:r>
        <w:rPr>
          <w:rFonts w:hint="eastAsia" w:ascii="宋体" w:hAnsi="宋体" w:eastAsia="宋体" w:cs="宋体"/>
          <w:bCs/>
          <w:sz w:val="32"/>
          <w:szCs w:val="32"/>
          <w:lang w:eastAsia="zh-CN"/>
        </w:rPr>
        <w:t>；</w:t>
      </w:r>
    </w:p>
    <w:p>
      <w:pPr>
        <w:autoSpaceDE w:val="0"/>
        <w:spacing w:line="540" w:lineRule="exact"/>
        <w:ind w:firstLine="320" w:firstLineChars="100"/>
        <w:jc w:val="left"/>
        <w:rPr>
          <w:rFonts w:ascii="仿宋" w:hAnsi="仿宋" w:eastAsia="仿宋"/>
          <w:color w:val="auto"/>
          <w:kern w:val="0"/>
          <w:sz w:val="32"/>
          <w:szCs w:val="32"/>
          <w:highlight w:val="none"/>
        </w:rPr>
      </w:pPr>
      <w:r>
        <w:rPr>
          <w:rFonts w:hint="eastAsia" w:ascii="宋体" w:hAnsi="宋体" w:cs="宋体"/>
          <w:bCs/>
          <w:sz w:val="32"/>
          <w:szCs w:val="32"/>
          <w:lang w:val="en-US" w:eastAsia="zh-CN"/>
        </w:rPr>
        <w:t>9</w:t>
      </w:r>
      <w:r>
        <w:rPr>
          <w:rFonts w:hint="eastAsia" w:ascii="宋体" w:hAnsi="宋体" w:eastAsia="宋体" w:cs="宋体"/>
          <w:bCs/>
          <w:sz w:val="32"/>
          <w:szCs w:val="32"/>
          <w:lang w:eastAsia="zh-CN"/>
        </w:rPr>
        <w:t>、</w:t>
      </w:r>
      <w:r>
        <w:rPr>
          <w:rFonts w:hint="eastAsia" w:ascii="宋体" w:hAnsi="宋体" w:eastAsia="宋体" w:cs="宋体"/>
          <w:bCs/>
          <w:sz w:val="32"/>
          <w:szCs w:val="32"/>
        </w:rPr>
        <w:t>警钟长鸣，持续强化党风廉政建设</w:t>
      </w:r>
      <w:r>
        <w:rPr>
          <w:rFonts w:hint="eastAsia" w:ascii="宋体" w:hAnsi="宋体" w:eastAsia="宋体" w:cs="宋体"/>
          <w:bCs/>
          <w:sz w:val="32"/>
          <w:szCs w:val="32"/>
          <w:lang w:eastAsia="zh-CN"/>
        </w:rPr>
        <w:t>。</w:t>
      </w:r>
    </w:p>
    <w:p>
      <w:pPr>
        <w:pStyle w:val="3"/>
        <w:ind w:right="440"/>
        <w:jc w:val="center"/>
        <w:rPr>
          <w:rStyle w:val="24"/>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6"/>
      <w:bookmarkEnd w:id="17"/>
    </w:p>
    <w:p>
      <w:pPr>
        <w:rPr>
          <w:color w:val="auto"/>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lang w:val="en-US" w:eastAsia="zh-CN"/>
        </w:rPr>
        <w:t>205.65万元，与2020年153.55万元相比增加52.1</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33.93</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2021年度支出164.66万元，与2020年度153.51万元相比增加11.15万元，增长7.26%，</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本年正常工资晋升及增加项目资金等。</w:t>
      </w: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205.65</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205.65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01表</w:t>
      </w:r>
      <w:r>
        <w:rPr>
          <w:rFonts w:hint="eastAsia" w:ascii="仿宋" w:hAnsi="仿宋" w:eastAsia="仿宋"/>
          <w:b/>
          <w:color w:val="auto"/>
          <w:sz w:val="32"/>
          <w:szCs w:val="32"/>
          <w:highlight w:val="none"/>
          <w:lang w:eastAsia="zh-CN"/>
        </w:rPr>
        <w:t>，仅罗列本单位涉及的收入。</w:t>
      </w:r>
      <w:r>
        <w:rPr>
          <w:rFonts w:ascii="仿宋" w:hAnsi="仿宋" w:eastAsia="仿宋"/>
          <w:b/>
          <w:color w:val="auto"/>
          <w:sz w:val="32"/>
          <w:szCs w:val="32"/>
          <w:highlight w:val="none"/>
        </w:rPr>
        <w:t>）</w:t>
      </w:r>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164.66</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164.66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04</w:t>
      </w:r>
      <w:r>
        <w:rPr>
          <w:rFonts w:hint="eastAsia" w:ascii="仿宋" w:hAnsi="仿宋" w:eastAsia="仿宋"/>
          <w:b/>
          <w:color w:val="auto"/>
          <w:sz w:val="32"/>
          <w:szCs w:val="32"/>
          <w:highlight w:val="none"/>
        </w:rPr>
        <w:t>表</w:t>
      </w:r>
      <w:r>
        <w:rPr>
          <w:rFonts w:hint="eastAsia" w:ascii="仿宋" w:hAnsi="仿宋" w:eastAsia="仿宋"/>
          <w:b/>
          <w:color w:val="auto"/>
          <w:sz w:val="32"/>
          <w:szCs w:val="32"/>
          <w:highlight w:val="none"/>
          <w:lang w:eastAsia="zh-CN"/>
        </w:rPr>
        <w:t>，仅罗列本单位涉及的支出。</w:t>
      </w:r>
      <w:r>
        <w:rPr>
          <w:rFonts w:hint="eastAsia" w:ascii="仿宋" w:hAnsi="仿宋" w:eastAsia="仿宋"/>
          <w:b/>
          <w:color w:val="auto"/>
          <w:sz w:val="32"/>
          <w:szCs w:val="32"/>
          <w:highlight w:val="none"/>
        </w:rPr>
        <w:t>）</w:t>
      </w:r>
    </w:p>
    <w:p>
      <w:pPr>
        <w:spacing w:line="600" w:lineRule="exact"/>
        <w:ind w:firstLine="640"/>
        <w:rPr>
          <w:rFonts w:ascii="仿宋" w:hAnsi="仿宋" w:eastAsia="仿宋"/>
          <w:color w:val="auto"/>
          <w:sz w:val="32"/>
          <w:szCs w:val="32"/>
          <w:highlight w:val="none"/>
          <w:shd w:val="pct10" w:color="auto" w:fill="FFFFFF"/>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lang w:val="en-US" w:eastAsia="zh-CN"/>
        </w:rPr>
        <w:t>205.65万元，与2020年度153.55万元相比增加52.1</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33.93</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2021年度支出164.66万元，与2020年度153.51万元相比增加11.15万元，增长7.26%，</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本年正常工资晋升及增加项目资金等。</w:t>
      </w:r>
    </w:p>
    <w:p>
      <w:pPr>
        <w:spacing w:line="600" w:lineRule="exact"/>
        <w:ind w:firstLine="640" w:firstLineChars="200"/>
        <w:rPr>
          <w:rFonts w:ascii="仿宋" w:hAnsi="仿宋" w:eastAsia="仿宋"/>
          <w:color w:val="auto"/>
          <w:sz w:val="32"/>
          <w:szCs w:val="32"/>
          <w:highlight w:val="none"/>
        </w:rPr>
      </w:pP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spacing w:line="600" w:lineRule="exact"/>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164.66</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153.51万元</w:t>
      </w:r>
      <w:r>
        <w:rPr>
          <w:rFonts w:hint="eastAsia" w:ascii="仿宋" w:hAnsi="仿宋" w:eastAsia="仿宋"/>
          <w:color w:val="auto"/>
          <w:sz w:val="32"/>
          <w:szCs w:val="32"/>
          <w:highlight w:val="none"/>
        </w:rPr>
        <w:t>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11.15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7.26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lang w:eastAsia="zh-CN"/>
        </w:rPr>
        <w:t>本年正常工资晋升及增加项目资金等。</w:t>
      </w: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164.66</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color w:val="auto"/>
          <w:sz w:val="32"/>
          <w:szCs w:val="32"/>
          <w:highlight w:val="none"/>
          <w:lang w:val="en-US" w:eastAsia="zh-CN"/>
        </w:rPr>
        <w:t>208</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11.4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6.92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val="en-US" w:eastAsia="zh-CN"/>
        </w:rPr>
        <w:t>210</w:t>
      </w:r>
      <w:r>
        <w:rPr>
          <w:rFonts w:hint="eastAsia" w:ascii="仿宋" w:hAnsi="仿宋" w:eastAsia="仿宋"/>
          <w:b/>
          <w:bCs/>
          <w:color w:val="auto"/>
          <w:sz w:val="32"/>
          <w:szCs w:val="32"/>
          <w:highlight w:val="none"/>
        </w:rPr>
        <w:t>支出</w:t>
      </w:r>
      <w:r>
        <w:rPr>
          <w:rFonts w:hint="eastAsia" w:ascii="仿宋" w:hAnsi="仿宋" w:eastAsia="仿宋"/>
          <w:b/>
          <w:bCs/>
          <w:color w:val="auto"/>
          <w:sz w:val="32"/>
          <w:szCs w:val="32"/>
          <w:highlight w:val="none"/>
          <w:lang w:val="en-US" w:eastAsia="zh-CN"/>
        </w:rPr>
        <w:t>6.6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4.01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w:t>
      </w:r>
      <w:r>
        <w:rPr>
          <w:rFonts w:hint="eastAsia" w:ascii="仿宋" w:hAnsi="仿宋" w:eastAsia="仿宋"/>
          <w:b/>
          <w:bCs/>
          <w:color w:val="auto"/>
          <w:sz w:val="32"/>
          <w:szCs w:val="32"/>
          <w:highlight w:val="none"/>
          <w:lang w:val="en-US" w:eastAsia="zh-CN"/>
        </w:rPr>
        <w:t>221</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8.33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5.06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粮油物资储备</w:t>
      </w:r>
      <w:r>
        <w:rPr>
          <w:rFonts w:hint="eastAsia" w:ascii="仿宋" w:hAnsi="仿宋" w:eastAsia="仿宋"/>
          <w:b/>
          <w:bCs/>
          <w:color w:val="auto"/>
          <w:sz w:val="32"/>
          <w:szCs w:val="32"/>
          <w:highlight w:val="none"/>
          <w:lang w:val="en-US" w:eastAsia="zh-CN"/>
        </w:rPr>
        <w:t>222</w:t>
      </w:r>
      <w:r>
        <w:rPr>
          <w:rFonts w:hint="eastAsia" w:ascii="仿宋" w:hAnsi="仿宋" w:eastAsia="仿宋"/>
          <w:b/>
          <w:bCs/>
          <w:color w:val="auto"/>
          <w:sz w:val="32"/>
          <w:szCs w:val="32"/>
          <w:highlight w:val="none"/>
          <w:lang w:eastAsia="zh-CN"/>
        </w:rPr>
        <w:t>支出</w:t>
      </w:r>
      <w:r>
        <w:rPr>
          <w:rFonts w:hint="eastAsia" w:ascii="仿宋" w:hAnsi="仿宋" w:eastAsia="仿宋"/>
          <w:color w:val="auto"/>
          <w:sz w:val="32"/>
          <w:szCs w:val="32"/>
          <w:highlight w:val="none"/>
          <w:lang w:val="en-US" w:eastAsia="zh-CN"/>
        </w:rPr>
        <w:t>138.33万元，占84.01%</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全部功能分类科目，至类级。）</w:t>
      </w:r>
    </w:p>
    <w:p>
      <w:pPr>
        <w:spacing w:line="600" w:lineRule="exact"/>
        <w:ind w:firstLine="64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8460"/>
      <w:bookmarkStart w:id="32" w:name="_Toc15377213"/>
      <w:bookmarkStart w:id="33"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164.66万元</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80.07</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1"/>
      <w:bookmarkEnd w:id="32"/>
      <w:bookmarkEnd w:id="33"/>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auto"/>
          <w:sz w:val="32"/>
          <w:szCs w:val="32"/>
          <w:highlight w:val="none"/>
        </w:rPr>
        <w:t>一般公共服务（类）</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（款）</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万元，完成预算</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等于预算数的主要原因是…。</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2.</w:t>
      </w:r>
      <w:r>
        <w:rPr>
          <w:rStyle w:val="14"/>
          <w:rFonts w:hint="eastAsia" w:ascii="仿宋" w:hAnsi="仿宋" w:eastAsia="仿宋"/>
          <w:bCs/>
          <w:color w:val="auto"/>
          <w:sz w:val="32"/>
          <w:szCs w:val="32"/>
          <w:highlight w:val="none"/>
        </w:rPr>
        <w:t>教育（类）</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（款）</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万元，完成预算</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等于预算数的主要原因是…。</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3.</w:t>
      </w:r>
      <w:r>
        <w:rPr>
          <w:rStyle w:val="14"/>
          <w:rFonts w:hint="eastAsia" w:ascii="仿宋" w:hAnsi="仿宋" w:eastAsia="仿宋"/>
          <w:bCs/>
          <w:color w:val="auto"/>
          <w:sz w:val="32"/>
          <w:szCs w:val="32"/>
          <w:highlight w:val="none"/>
        </w:rPr>
        <w:t>科学技术（类）</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（款）</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万元，完成预算</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等于预算数的主要原因是…。</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4.</w:t>
      </w:r>
      <w:r>
        <w:rPr>
          <w:rStyle w:val="14"/>
          <w:rFonts w:hint="eastAsia" w:ascii="仿宋" w:hAnsi="仿宋" w:eastAsia="仿宋"/>
          <w:bCs/>
          <w:color w:val="auto"/>
          <w:sz w:val="32"/>
          <w:szCs w:val="32"/>
          <w:highlight w:val="none"/>
        </w:rPr>
        <w:t>文化旅游体育与传媒（类）</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（款）</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万元，完成预算</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等于预算数的主要原因是…。</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5.</w:t>
      </w:r>
      <w:r>
        <w:rPr>
          <w:rStyle w:val="14"/>
          <w:rFonts w:hint="eastAsia" w:ascii="仿宋" w:hAnsi="仿宋" w:eastAsia="仿宋"/>
          <w:bCs/>
          <w:color w:val="auto"/>
          <w:sz w:val="32"/>
          <w:szCs w:val="32"/>
          <w:highlight w:val="none"/>
        </w:rPr>
        <w:t>社会保障和就业</w:t>
      </w:r>
      <w:r>
        <w:rPr>
          <w:rStyle w:val="14"/>
          <w:rFonts w:hint="eastAsia" w:ascii="仿宋" w:hAnsi="仿宋" w:eastAsia="仿宋"/>
          <w:bCs/>
          <w:color w:val="auto"/>
          <w:sz w:val="32"/>
          <w:szCs w:val="32"/>
          <w:highlight w:val="none"/>
          <w:lang w:val="en-US" w:eastAsia="zh-CN"/>
        </w:rPr>
        <w:t>2080505机关事业单位基本养老保险缴费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11.4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w:t>
      </w:r>
      <w:r>
        <w:rPr>
          <w:rStyle w:val="14"/>
          <w:rFonts w:hint="eastAsia" w:ascii="仿宋" w:hAnsi="仿宋" w:eastAsia="仿宋"/>
          <w:b w:val="0"/>
          <w:bCs/>
          <w:color w:val="auto"/>
          <w:sz w:val="32"/>
          <w:szCs w:val="32"/>
          <w:highlight w:val="none"/>
          <w:lang w:eastAsia="zh-CN"/>
        </w:rPr>
        <w:t>与</w:t>
      </w:r>
      <w:r>
        <w:rPr>
          <w:rStyle w:val="14"/>
          <w:rFonts w:hint="eastAsia" w:ascii="仿宋" w:hAnsi="仿宋" w:eastAsia="仿宋"/>
          <w:b w:val="0"/>
          <w:bCs/>
          <w:color w:val="auto"/>
          <w:sz w:val="32"/>
          <w:szCs w:val="32"/>
          <w:highlight w:val="none"/>
        </w:rPr>
        <w:t>预算数</w:t>
      </w:r>
      <w:r>
        <w:rPr>
          <w:rStyle w:val="14"/>
          <w:rFonts w:hint="eastAsia" w:ascii="仿宋" w:hAnsi="仿宋" w:eastAsia="仿宋"/>
          <w:b w:val="0"/>
          <w:bCs/>
          <w:color w:val="auto"/>
          <w:sz w:val="32"/>
          <w:szCs w:val="32"/>
          <w:highlight w:val="none"/>
          <w:lang w:eastAsia="zh-CN"/>
        </w:rPr>
        <w:t>持平</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lang w:eastAsia="zh-CN"/>
        </w:rPr>
      </w:pPr>
      <w:r>
        <w:rPr>
          <w:rStyle w:val="14"/>
          <w:rFonts w:ascii="仿宋" w:hAnsi="仿宋" w:eastAsia="仿宋"/>
          <w:bCs/>
          <w:color w:val="auto"/>
          <w:sz w:val="32"/>
          <w:szCs w:val="32"/>
          <w:highlight w:val="none"/>
        </w:rPr>
        <w:t>6.</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val="en-US" w:eastAsia="zh-CN"/>
        </w:rPr>
        <w:t>2101102事业单位医疗</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6.6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w:t>
      </w:r>
      <w:r>
        <w:rPr>
          <w:rStyle w:val="14"/>
          <w:rFonts w:hint="eastAsia" w:ascii="仿宋" w:hAnsi="仿宋" w:eastAsia="仿宋"/>
          <w:b w:val="0"/>
          <w:bCs/>
          <w:color w:val="auto"/>
          <w:sz w:val="32"/>
          <w:szCs w:val="32"/>
          <w:highlight w:val="none"/>
          <w:lang w:eastAsia="zh-CN"/>
        </w:rPr>
        <w:t>与预算数持平。</w:t>
      </w:r>
    </w:p>
    <w:p>
      <w:pPr>
        <w:pStyle w:val="2"/>
        <w:ind w:firstLine="602" w:firstLineChars="200"/>
        <w:rPr>
          <w:rFonts w:hint="eastAsia" w:eastAsia="仿宋"/>
          <w:lang w:val="en-US" w:eastAsia="zh-CN"/>
        </w:rPr>
      </w:pPr>
      <w:r>
        <w:rPr>
          <w:rFonts w:hint="eastAsia" w:eastAsia="仿宋"/>
          <w:b/>
          <w:bCs/>
          <w:lang w:val="en-US" w:eastAsia="zh-CN"/>
        </w:rPr>
        <w:t>7.住房保障2210201住房公积金</w:t>
      </w:r>
      <w:r>
        <w:rPr>
          <w:rFonts w:hint="eastAsia" w:eastAsia="仿宋"/>
          <w:lang w:val="en-US" w:eastAsia="zh-CN"/>
        </w:rPr>
        <w:t>：支出决算为8.33万元，完成预算98%，决算数小于预算数，主要是一位职工工资降级。</w:t>
      </w:r>
    </w:p>
    <w:p>
      <w:pPr>
        <w:spacing w:line="600" w:lineRule="exact"/>
        <w:ind w:firstLine="643" w:firstLineChars="200"/>
        <w:rPr>
          <w:rFonts w:hint="eastAsia" w:ascii="仿宋" w:hAnsi="仿宋" w:eastAsia="仿宋"/>
          <w:color w:val="000000"/>
          <w:sz w:val="32"/>
          <w:szCs w:val="32"/>
          <w:lang w:eastAsia="zh-CN"/>
        </w:rPr>
      </w:pPr>
      <w:r>
        <w:rPr>
          <w:rFonts w:hint="eastAsia" w:eastAsia="仿宋"/>
          <w:b/>
          <w:bCs/>
          <w:sz w:val="32"/>
          <w:szCs w:val="32"/>
          <w:lang w:val="en-US" w:eastAsia="zh-CN"/>
        </w:rPr>
        <w:t>8.粮油物资储备2220150事业运行</w:t>
      </w:r>
      <w:r>
        <w:rPr>
          <w:rFonts w:hint="eastAsia" w:eastAsia="仿宋"/>
          <w:sz w:val="32"/>
          <w:szCs w:val="32"/>
          <w:lang w:val="en-US" w:eastAsia="zh-CN"/>
        </w:rPr>
        <w:t>：支出决算数为138.33万元，完成预算数77.21%，决算数小于预算数，主要是年底</w:t>
      </w:r>
      <w:r>
        <w:rPr>
          <w:rFonts w:hint="eastAsia" w:ascii="仿宋" w:hAnsi="仿宋" w:eastAsia="仿宋"/>
          <w:color w:val="000000"/>
          <w:sz w:val="32"/>
          <w:szCs w:val="32"/>
          <w:lang w:eastAsia="zh-CN"/>
        </w:rPr>
        <w:t>增加项目资金未支付等。</w:t>
      </w:r>
    </w:p>
    <w:p>
      <w:pPr>
        <w:spacing w:line="600" w:lineRule="exact"/>
        <w:rPr>
          <w:rFonts w:ascii="仿宋" w:hAnsi="仿宋" w:eastAsia="仿宋"/>
          <w:color w:val="auto"/>
          <w:sz w:val="32"/>
          <w:szCs w:val="32"/>
          <w:highlight w:val="none"/>
        </w:rPr>
      </w:pP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至项级。上述“预算”口径为调整预算数。增减变动原因为决算数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和调整预算数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比较，与预算数持平可以不写原因。）</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5"/>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4"/>
      <w:bookmarkEnd w:id="35"/>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164.66</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139.56</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25.1</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7表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08-1表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仅罗列</w:t>
      </w:r>
      <w:r>
        <w:rPr>
          <w:rFonts w:hint="eastAsia" w:ascii="仿宋" w:hAnsi="仿宋" w:eastAsia="仿宋"/>
          <w:b/>
          <w:color w:val="auto"/>
          <w:sz w:val="32"/>
          <w:szCs w:val="32"/>
          <w:highlight w:val="none"/>
        </w:rPr>
        <w:t>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实际支出</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经济分类科目。）</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5"/>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，决算数小于预算数（或与预算数持平）的主要原因是……。</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（注：上述“预算”口径为调整预算数，包括</w:t>
      </w:r>
      <w:r>
        <w:rPr>
          <w:rFonts w:hint="eastAsia" w:ascii="仿宋" w:hAnsi="仿宋" w:eastAsia="仿宋"/>
          <w:b/>
          <w:color w:val="auto"/>
          <w:sz w:val="32"/>
          <w:szCs w:val="32"/>
          <w:highlight w:val="none"/>
          <w:lang w:eastAsia="zh-CN"/>
        </w:rPr>
        <w:t>一般公共预算和</w:t>
      </w:r>
      <w:r>
        <w:rPr>
          <w:rFonts w:hint="eastAsia" w:ascii="仿宋" w:hAnsi="仿宋" w:eastAsia="仿宋"/>
          <w:b/>
          <w:color w:val="auto"/>
          <w:sz w:val="32"/>
          <w:szCs w:val="32"/>
          <w:highlight w:val="none"/>
        </w:rPr>
        <w:t>政府性基金</w:t>
      </w:r>
      <w:r>
        <w:rPr>
          <w:rFonts w:hint="eastAsia" w:ascii="仿宋" w:hAnsi="仿宋" w:eastAsia="仿宋"/>
          <w:b/>
          <w:color w:val="auto"/>
          <w:sz w:val="32"/>
          <w:szCs w:val="32"/>
          <w:highlight w:val="none"/>
          <w:lang w:eastAsia="zh-CN"/>
        </w:rPr>
        <w:t>预算财政拨款</w:t>
      </w:r>
      <w:r>
        <w:rPr>
          <w:rFonts w:hint="eastAsia" w:ascii="仿宋" w:hAnsi="仿宋" w:eastAsia="仿宋"/>
          <w:b/>
          <w:color w:val="auto"/>
          <w:sz w:val="32"/>
          <w:szCs w:val="32"/>
          <w:highlight w:val="none"/>
        </w:rPr>
        <w:t>支出决算情况。）</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p>
    <w:p>
      <w:pPr>
        <w:spacing w:line="60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开支内容包括：…（团组名称、出访地点、取得成效）等。</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万元。主要用于</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（具体工作）等所需的公务用车燃料费、维修费、过路过桥费、保险费等支出。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万元，具体内容包括：…（接待具体项目、金额）。</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万元，主要用于接待</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（具体项目）。主要用于……</w:t>
      </w:r>
    </w:p>
    <w:p>
      <w:pPr>
        <w:spacing w:line="600" w:lineRule="exact"/>
        <w:ind w:firstLine="640"/>
        <w:outlineLvl w:val="1"/>
        <w:rPr>
          <w:rFonts w:ascii="黑体" w:eastAsia="黑体"/>
          <w:color w:val="auto"/>
          <w:sz w:val="32"/>
          <w:szCs w:val="32"/>
          <w:highlight w:val="none"/>
        </w:rPr>
      </w:pPr>
      <w:bookmarkStart w:id="40" w:name="_Toc15396610"/>
      <w:bookmarkStart w:id="41" w:name="_Toc15377218"/>
    </w:p>
    <w:p>
      <w:pPr>
        <w:spacing w:line="600" w:lineRule="exact"/>
        <w:ind w:firstLine="640"/>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2"/>
        </w:numPr>
        <w:spacing w:line="600" w:lineRule="exact"/>
        <w:ind w:firstLine="640"/>
        <w:outlineLvl w:val="1"/>
        <w:rPr>
          <w:rStyle w:val="25"/>
          <w:rFonts w:ascii="黑体" w:hAnsi="黑体" w:eastAsia="黑体"/>
          <w:b w:val="0"/>
          <w:color w:val="auto"/>
          <w:highlight w:val="none"/>
        </w:rPr>
      </w:pPr>
      <w:bookmarkStart w:id="42" w:name="_Toc15396611"/>
      <w:bookmarkStart w:id="43" w:name="_Toc15377219"/>
      <w:r>
        <w:rPr>
          <w:rStyle w:val="25"/>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2"/>
        </w:numPr>
        <w:spacing w:line="600" w:lineRule="exact"/>
        <w:ind w:firstLine="640"/>
        <w:outlineLvl w:val="1"/>
        <w:rPr>
          <w:rStyle w:val="25"/>
          <w:rFonts w:hint="eastAsia" w:ascii="黑体" w:hAnsi="黑体" w:eastAsia="黑体"/>
          <w:b w:val="0"/>
          <w:color w:val="auto"/>
          <w:highlight w:val="none"/>
        </w:rPr>
      </w:pPr>
      <w:bookmarkStart w:id="44" w:name="_Toc15377221"/>
      <w:bookmarkStart w:id="45" w:name="_Toc15396612"/>
      <w:r>
        <w:rPr>
          <w:rStyle w:val="25"/>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巴中市军粮供应管理中心</w:t>
      </w:r>
      <w:r>
        <w:rPr>
          <w:rFonts w:hint="eastAsia" w:ascii="仿宋_GB2312" w:eastAsia="仿宋_GB2312"/>
          <w:color w:val="auto"/>
          <w:sz w:val="32"/>
          <w:szCs w:val="32"/>
          <w:highlight w:val="none"/>
        </w:rPr>
        <w:t>运行经费支出</w:t>
      </w:r>
      <w:r>
        <w:rPr>
          <w:rFonts w:hint="eastAsia" w:ascii="仿宋_GB2312" w:eastAsia="仿宋_GB2312"/>
          <w:color w:val="auto"/>
          <w:sz w:val="32"/>
          <w:szCs w:val="32"/>
          <w:highlight w:val="none"/>
          <w:lang w:val="en-US" w:eastAsia="zh-CN"/>
        </w:rPr>
        <w:t>25.1</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5.2</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26.13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（或与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年决算数持平）。主要原因</w:t>
      </w:r>
      <w:r>
        <w:rPr>
          <w:rFonts w:hint="eastAsia" w:ascii="仿宋_GB2312" w:eastAsia="仿宋_GB2312"/>
          <w:color w:val="auto"/>
          <w:sz w:val="32"/>
          <w:szCs w:val="32"/>
          <w:highlight w:val="none"/>
          <w:lang w:eastAsia="zh-CN"/>
        </w:rPr>
        <w:t>是</w:t>
      </w:r>
      <w:r>
        <w:rPr>
          <w:rFonts w:hint="eastAsia" w:ascii="仿宋" w:hAnsi="仿宋" w:eastAsia="仿宋"/>
          <w:color w:val="000000"/>
          <w:sz w:val="32"/>
          <w:szCs w:val="32"/>
          <w:lang w:eastAsia="zh-CN"/>
        </w:rPr>
        <w:t>本年正常工资晋升及增加项目资金。</w:t>
      </w:r>
      <w:bookmarkStart w:id="67" w:name="_GoBack"/>
      <w:bookmarkEnd w:id="67"/>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巴中市军粮供应管理中心</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（具体工作）。授予中小企业合同金额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巴中市军粮供应管理中</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辆……其他用车主要是用于……单价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表，按</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决算报表填报数据罗列车辆情况。）</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预算编制阶段，组织对XXX项目（项目名称）</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XX个项目</w:t>
      </w:r>
      <w:r>
        <w:rPr>
          <w:rFonts w:hint="eastAsia" w:ascii="仿宋_GB2312" w:hAnsi="仿宋_GB2312" w:eastAsia="仿宋_GB2312" w:cs="仿宋_GB2312"/>
          <w:color w:val="auto"/>
          <w:sz w:val="32"/>
          <w:szCs w:val="32"/>
          <w:highlight w:val="none"/>
        </w:rPr>
        <w:t>开展了预算事前绩效评估，对XX个项目编制了绩效目标，预算执行过程中，选取XX个项目开展绩效监控，年终执行完毕后，对XX个项目开展了绩效自评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autoSpaceDE w:val="0"/>
        <w:autoSpaceDN w:val="0"/>
        <w:adjustRightInd w:val="0"/>
        <w:spacing w:line="600" w:lineRule="exact"/>
        <w:ind w:firstLine="643" w:firstLineChars="200"/>
        <w:jc w:val="both"/>
        <w:rPr>
          <w:rFonts w:ascii="仿宋" w:hAnsi="仿宋" w:eastAsia="仿宋"/>
          <w:b/>
          <w:bCs w:val="0"/>
          <w:color w:val="auto"/>
          <w:sz w:val="32"/>
          <w:szCs w:val="32"/>
          <w:highlight w:val="none"/>
        </w:rPr>
      </w:pPr>
      <w:r>
        <w:rPr>
          <w:rFonts w:hint="eastAsia" w:ascii="仿宋" w:hAnsi="仿宋" w:eastAsia="仿宋"/>
          <w:b/>
          <w:bCs w:val="0"/>
          <w:color w:val="auto"/>
          <w:sz w:val="32"/>
          <w:szCs w:val="32"/>
          <w:highlight w:val="none"/>
        </w:rPr>
        <w:t>（注：</w:t>
      </w:r>
      <w:r>
        <w:rPr>
          <w:rFonts w:hint="eastAsia" w:ascii="仿宋" w:hAnsi="仿宋" w:eastAsia="仿宋"/>
          <w:b/>
          <w:bCs w:val="0"/>
          <w:color w:val="auto"/>
          <w:sz w:val="32"/>
          <w:szCs w:val="32"/>
          <w:highlight w:val="none"/>
          <w:lang w:eastAsia="zh-CN"/>
        </w:rPr>
        <w:t>单位</w:t>
      </w:r>
      <w:r>
        <w:rPr>
          <w:rFonts w:hint="eastAsia" w:ascii="仿宋_GB2312" w:hAnsi="仿宋_GB2312" w:eastAsia="仿宋_GB2312" w:cs="仿宋_GB2312"/>
          <w:b/>
          <w:bCs w:val="0"/>
          <w:color w:val="auto"/>
          <w:sz w:val="32"/>
          <w:szCs w:val="32"/>
          <w:highlight w:val="none"/>
          <w:lang w:val="en-US" w:eastAsia="zh-CN"/>
        </w:rPr>
        <w:t>2021年特定目标类部门预算项目绩效目标自评表为本部门2021年部门整体支出绩效评价报告中涉及本单位的附表</w:t>
      </w:r>
      <w:r>
        <w:rPr>
          <w:rFonts w:hint="eastAsia" w:ascii="仿宋" w:hAnsi="仿宋" w:eastAsia="仿宋"/>
          <w:b/>
          <w:bCs w:val="0"/>
          <w:color w:val="auto"/>
          <w:sz w:val="32"/>
          <w:szCs w:val="32"/>
          <w:highlight w:val="none"/>
        </w:rPr>
        <w:t>）</w:t>
      </w: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4"/>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eastAsia="仿宋_GB2312"/>
          <w:color w:val="auto"/>
          <w:sz w:val="32"/>
          <w:szCs w:val="32"/>
          <w:highlight w:val="none"/>
        </w:rPr>
        <w:t>一般公共服务（类）…（款）…（项）：指……。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10.</w:t>
      </w:r>
      <w:r>
        <w:rPr>
          <w:rFonts w:hint="eastAsia" w:ascii="仿宋_GB2312" w:eastAsia="仿宋_GB2312"/>
          <w:color w:val="auto"/>
          <w:sz w:val="32"/>
          <w:szCs w:val="32"/>
          <w:highlight w:val="none"/>
        </w:rPr>
        <w:t>外交（类）…（款）…（项）：指……。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11.</w:t>
      </w:r>
      <w:r>
        <w:rPr>
          <w:rFonts w:hint="eastAsia" w:ascii="仿宋_GB2312" w:eastAsia="仿宋_GB2312"/>
          <w:color w:val="auto"/>
          <w:sz w:val="32"/>
          <w:szCs w:val="32"/>
          <w:highlight w:val="none"/>
        </w:rPr>
        <w:t>公共安全（类）…（款）…（项）：指……。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12.</w:t>
      </w:r>
      <w:r>
        <w:rPr>
          <w:rFonts w:hint="eastAsia" w:ascii="仿宋_GB2312" w:eastAsia="仿宋_GB2312"/>
          <w:color w:val="auto"/>
          <w:sz w:val="32"/>
          <w:szCs w:val="32"/>
          <w:highlight w:val="none"/>
        </w:rPr>
        <w:t>教育（类）…（款）…（项）：指……。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13.</w:t>
      </w:r>
      <w:r>
        <w:rPr>
          <w:rFonts w:hint="eastAsia" w:ascii="仿宋_GB2312" w:eastAsia="仿宋_GB2312"/>
          <w:color w:val="auto"/>
          <w:sz w:val="32"/>
          <w:szCs w:val="32"/>
          <w:highlight w:val="none"/>
        </w:rPr>
        <w:t>科学技术（类）…（款）…（项）：指……。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14.</w:t>
      </w:r>
      <w:r>
        <w:rPr>
          <w:rFonts w:hint="eastAsia" w:ascii="仿宋_GB2312" w:eastAsia="仿宋_GB2312"/>
          <w:color w:val="auto"/>
          <w:sz w:val="32"/>
          <w:szCs w:val="32"/>
          <w:highlight w:val="none"/>
        </w:rPr>
        <w:t>文化体育与传媒（类）…（款）…（项）：指……。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15.</w:t>
      </w:r>
      <w:r>
        <w:rPr>
          <w:rFonts w:hint="eastAsia" w:ascii="仿宋_GB2312" w:eastAsia="仿宋_GB2312"/>
          <w:color w:val="auto"/>
          <w:sz w:val="32"/>
          <w:szCs w:val="32"/>
          <w:highlight w:val="none"/>
        </w:rPr>
        <w:t>社会保障和就业（类）…（款）…（项）：指……。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16.</w:t>
      </w:r>
      <w:r>
        <w:rPr>
          <w:rFonts w:hint="eastAsia" w:ascii="仿宋_GB2312" w:eastAsia="仿宋_GB2312"/>
          <w:color w:val="auto"/>
          <w:sz w:val="32"/>
          <w:szCs w:val="32"/>
          <w:highlight w:val="none"/>
        </w:rPr>
        <w:t>医疗卫生与计划生育（类）…（款）…（项）：指……。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17.</w:t>
      </w:r>
      <w:r>
        <w:rPr>
          <w:rFonts w:hint="eastAsia" w:ascii="仿宋_GB2312" w:eastAsia="仿宋_GB2312"/>
          <w:color w:val="auto"/>
          <w:sz w:val="32"/>
          <w:szCs w:val="32"/>
          <w:highlight w:val="none"/>
        </w:rPr>
        <w:t>节能环保（类）…（款）…（项）：指……。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18.</w:t>
      </w:r>
      <w:r>
        <w:rPr>
          <w:rFonts w:hint="eastAsia" w:ascii="仿宋_GB2312" w:eastAsia="仿宋_GB2312"/>
          <w:color w:val="auto"/>
          <w:sz w:val="32"/>
          <w:szCs w:val="32"/>
          <w:highlight w:val="none"/>
        </w:rPr>
        <w:t>城乡社区（类）…（款）…（项）：指……。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19.</w:t>
      </w:r>
      <w:r>
        <w:rPr>
          <w:rFonts w:hint="eastAsia" w:ascii="仿宋_GB2312" w:eastAsia="仿宋_GB2312"/>
          <w:color w:val="auto"/>
          <w:sz w:val="32"/>
          <w:szCs w:val="32"/>
          <w:highlight w:val="none"/>
        </w:rPr>
        <w:t>农林水（类）…（款）…（项）：指……。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rPr>
        <w:t>交通运输（类）…（款）…（项）：指……。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21.</w:t>
      </w:r>
      <w:r>
        <w:rPr>
          <w:rFonts w:hint="eastAsia" w:ascii="仿宋_GB2312" w:eastAsia="仿宋_GB2312"/>
          <w:color w:val="auto"/>
          <w:sz w:val="32"/>
          <w:szCs w:val="32"/>
          <w:highlight w:val="none"/>
        </w:rPr>
        <w:t>资源勘探信息等（类）…（款）…（项）：指……。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22.</w:t>
      </w:r>
      <w:r>
        <w:rPr>
          <w:rFonts w:hint="eastAsia" w:ascii="仿宋_GB2312" w:eastAsia="仿宋_GB2312"/>
          <w:color w:val="auto"/>
          <w:sz w:val="32"/>
          <w:szCs w:val="32"/>
          <w:highlight w:val="none"/>
        </w:rPr>
        <w:t>商业服务业（类）…（款）…（项）：指……。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23.</w:t>
      </w:r>
      <w:r>
        <w:rPr>
          <w:rFonts w:hint="eastAsia" w:ascii="仿宋_GB2312" w:eastAsia="仿宋_GB2312"/>
          <w:color w:val="auto"/>
          <w:sz w:val="32"/>
          <w:szCs w:val="32"/>
          <w:highlight w:val="none"/>
        </w:rPr>
        <w:t>金融（类）…（款）…（项）：指……。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24.</w:t>
      </w:r>
      <w:r>
        <w:rPr>
          <w:rFonts w:hint="eastAsia" w:ascii="仿宋_GB2312" w:eastAsia="仿宋_GB2312"/>
          <w:color w:val="auto"/>
          <w:sz w:val="32"/>
          <w:szCs w:val="32"/>
          <w:highlight w:val="none"/>
        </w:rPr>
        <w:t>国土海洋气象等（类）…（款）…（项）：指……。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25.</w:t>
      </w:r>
      <w:r>
        <w:rPr>
          <w:rFonts w:hint="eastAsia" w:ascii="仿宋_GB2312" w:eastAsia="仿宋_GB2312"/>
          <w:color w:val="auto"/>
          <w:sz w:val="32"/>
          <w:szCs w:val="32"/>
          <w:highlight w:val="none"/>
        </w:rPr>
        <w:t>住房保障（类）…（款）…（项）：指……。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26.</w:t>
      </w:r>
      <w:r>
        <w:rPr>
          <w:rFonts w:hint="eastAsia" w:ascii="仿宋_GB2312" w:eastAsia="仿宋_GB2312"/>
          <w:color w:val="auto"/>
          <w:sz w:val="32"/>
          <w:szCs w:val="32"/>
          <w:highlight w:val="none"/>
        </w:rPr>
        <w:t>粮油物资储备（类）…（款）…（项）：指……。</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（解释本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决算报表中</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全部功能分类科目至项级，</w:t>
      </w:r>
      <w:r>
        <w:rPr>
          <w:rFonts w:hint="eastAsia" w:ascii="仿宋" w:hAnsi="仿宋" w:eastAsia="仿宋"/>
          <w:b/>
          <w:color w:val="auto"/>
          <w:sz w:val="32"/>
          <w:szCs w:val="32"/>
          <w:highlight w:val="none"/>
          <w:lang w:eastAsia="zh-CN"/>
        </w:rPr>
        <w:t>不涉及的科目请自行删除。</w:t>
      </w:r>
      <w:r>
        <w:rPr>
          <w:rFonts w:hint="eastAsia" w:ascii="仿宋" w:hAnsi="仿宋" w:eastAsia="仿宋"/>
          <w:b/>
          <w:color w:val="auto"/>
          <w:sz w:val="32"/>
          <w:szCs w:val="32"/>
          <w:highlight w:val="none"/>
        </w:rPr>
        <w:t>请参照《</w:t>
      </w:r>
      <w:r>
        <w:rPr>
          <w:rFonts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年政府收支分类科目》增减内容。）</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27.</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28.</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29.</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30.</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32.</w:t>
      </w:r>
      <w:r>
        <w:rPr>
          <w:rFonts w:hint="eastAsia" w:ascii="仿宋_GB2312" w:eastAsia="仿宋_GB2312"/>
          <w:color w:val="auto"/>
          <w:sz w:val="32"/>
          <w:szCs w:val="32"/>
          <w:highlight w:val="none"/>
        </w:rPr>
        <w:t>……。</w:t>
      </w:r>
    </w:p>
    <w:p>
      <w:pPr>
        <w:pStyle w:val="22"/>
        <w:spacing w:line="560" w:lineRule="exact"/>
        <w:ind w:firstLine="640" w:firstLineChars="200"/>
        <w:rPr>
          <w:rFonts w:ascii="仿宋_GB2312" w:eastAsia="仿宋_GB2312" w:cs="黑体"/>
          <w:color w:val="auto"/>
          <w:sz w:val="32"/>
          <w:szCs w:val="32"/>
          <w:highlight w:val="none"/>
        </w:rPr>
      </w:pPr>
    </w:p>
    <w:p>
      <w:pPr>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（名词解释部分请根据各</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实际列支情况罗列，并根据本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职责职能增减名词解释内容。）</w:t>
      </w:r>
    </w:p>
    <w:p>
      <w:pPr>
        <w:spacing w:line="600" w:lineRule="exact"/>
        <w:jc w:val="center"/>
        <w:outlineLvl w:val="0"/>
        <w:rPr>
          <w:rStyle w:val="24"/>
          <w:rFonts w:ascii="黑体" w:hAnsi="黑体" w:eastAsia="黑体"/>
          <w:b w:val="0"/>
          <w:color w:val="auto"/>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附件</w:t>
      </w: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53"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0"/>
        <w:rPr>
          <w:rFonts w:hint="eastAsia" w:ascii="黑体" w:hAnsi="黑体" w:eastAsia="黑体"/>
          <w:color w:val="auto"/>
          <w:sz w:val="44"/>
          <w:szCs w:val="44"/>
          <w:highlight w:val="none"/>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lang w:val="en-US" w:eastAsia="zh-CN"/>
        </w:rPr>
        <w:t>（注：有两个及以上100万元以上（含）特定目标类部门预算项目的，需分别开展绩效目标自评并填写附表）</w:t>
      </w: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7"/>
    </w:p>
    <w:p>
      <w:pPr>
        <w:pStyle w:val="4"/>
        <w:rPr>
          <w:rStyle w:val="25"/>
          <w:rFonts w:ascii="仿宋" w:hAnsi="仿宋" w:eastAsia="仿宋"/>
          <w:b w:val="0"/>
          <w:bCs w:val="0"/>
          <w:color w:val="auto"/>
          <w:highlight w:val="none"/>
        </w:rPr>
      </w:pPr>
      <w:bookmarkStart w:id="58"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65"/>
    </w:p>
    <w:p>
      <w:pPr>
        <w:pStyle w:val="4"/>
        <w:rPr>
          <w:rStyle w:val="25"/>
          <w:rFonts w:hint="eastAsia" w:ascii="仿宋" w:hAnsi="仿宋" w:eastAsia="仿宋"/>
          <w:b w:val="0"/>
          <w:bCs w:val="0"/>
          <w:color w:val="auto"/>
          <w:highlight w:val="none"/>
        </w:rPr>
      </w:pPr>
      <w:bookmarkStart w:id="66"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5MzdkZTdjNzhkMzAzYTMzYTc1MTVkZDgyYmU1NDg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57231"/>
    <w:rsid w:val="02163895"/>
    <w:rsid w:val="0A2032A3"/>
    <w:rsid w:val="0B8A37D8"/>
    <w:rsid w:val="0CD036BD"/>
    <w:rsid w:val="10C055FF"/>
    <w:rsid w:val="118107EC"/>
    <w:rsid w:val="11DD6519"/>
    <w:rsid w:val="14ED0B1F"/>
    <w:rsid w:val="16BB723D"/>
    <w:rsid w:val="18015F3F"/>
    <w:rsid w:val="1BE8440E"/>
    <w:rsid w:val="1D155CEE"/>
    <w:rsid w:val="20C46F6F"/>
    <w:rsid w:val="20F57F95"/>
    <w:rsid w:val="21A94BCA"/>
    <w:rsid w:val="240371BF"/>
    <w:rsid w:val="241E5CD3"/>
    <w:rsid w:val="25C741E6"/>
    <w:rsid w:val="27842671"/>
    <w:rsid w:val="29FD04D3"/>
    <w:rsid w:val="2ABE7A3E"/>
    <w:rsid w:val="2B9B4459"/>
    <w:rsid w:val="2C0711DA"/>
    <w:rsid w:val="2E93259D"/>
    <w:rsid w:val="2EFA178C"/>
    <w:rsid w:val="30B46D73"/>
    <w:rsid w:val="319F7F4E"/>
    <w:rsid w:val="351231F8"/>
    <w:rsid w:val="35161221"/>
    <w:rsid w:val="35F766C4"/>
    <w:rsid w:val="39693965"/>
    <w:rsid w:val="397816C7"/>
    <w:rsid w:val="39AE70AB"/>
    <w:rsid w:val="3C0C0783"/>
    <w:rsid w:val="3F9F3A96"/>
    <w:rsid w:val="3FDF66C1"/>
    <w:rsid w:val="42163F90"/>
    <w:rsid w:val="493C27E9"/>
    <w:rsid w:val="496F39ED"/>
    <w:rsid w:val="49FF41D3"/>
    <w:rsid w:val="4BE068DB"/>
    <w:rsid w:val="4BF6002B"/>
    <w:rsid w:val="4ECE2238"/>
    <w:rsid w:val="51DB4B86"/>
    <w:rsid w:val="528C4F67"/>
    <w:rsid w:val="55333C3E"/>
    <w:rsid w:val="56A345B7"/>
    <w:rsid w:val="580F1AE2"/>
    <w:rsid w:val="593D0472"/>
    <w:rsid w:val="5A062BF2"/>
    <w:rsid w:val="5A50156A"/>
    <w:rsid w:val="5D556F00"/>
    <w:rsid w:val="5D9C72B4"/>
    <w:rsid w:val="60E6231A"/>
    <w:rsid w:val="614E6A65"/>
    <w:rsid w:val="64CA39A1"/>
    <w:rsid w:val="69D07DBE"/>
    <w:rsid w:val="6A1432F4"/>
    <w:rsid w:val="6AAB748E"/>
    <w:rsid w:val="6C4A05C8"/>
    <w:rsid w:val="6D841F79"/>
    <w:rsid w:val="6EEC69E8"/>
    <w:rsid w:val="6F79771B"/>
    <w:rsid w:val="706D04C8"/>
    <w:rsid w:val="70B46185"/>
    <w:rsid w:val="714B590A"/>
    <w:rsid w:val="72734D90"/>
    <w:rsid w:val="77AE6E92"/>
    <w:rsid w:val="79E7B28D"/>
    <w:rsid w:val="7EC7700E"/>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18</Pages>
  <Words>5972</Words>
  <Characters>6488</Characters>
  <Lines>61</Lines>
  <Paragraphs>17</Paragraphs>
  <TotalTime>17</TotalTime>
  <ScaleCrop>false</ScaleCrop>
  <LinksUpToDate>false</LinksUpToDate>
  <CharactersWithSpaces>6518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2022-10-11T02:32:00Z</cp:lastPrinted>
  <dcterms:modified xsi:type="dcterms:W3CDTF">2022-10-11T03:05:51Z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D507B2C33A534BDEA04BCA395158F3AD</vt:lpwstr>
  </property>
</Properties>
</file>