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96597"/>
      <w:bookmarkStart w:id="1" w:name="_Toc15396475"/>
      <w:bookmarkStart w:id="2" w:name="_Toc15377425"/>
      <w:bookmarkStart w:id="3" w:name="_Toc15378441"/>
      <w:bookmarkStart w:id="4" w:name="_Toc15377193"/>
      <w:bookmarkStart w:id="5"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0"/>
      <w:bookmarkEnd w:id="1"/>
      <w:bookmarkEnd w:id="2"/>
      <w:bookmarkEnd w:id="3"/>
      <w:bookmarkEnd w:id="4"/>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15377426"/>
      <w:bookmarkStart w:id="7" w:name="_Toc15377194"/>
      <w:bookmarkStart w:id="8" w:name="_Toc15378442"/>
      <w:bookmarkStart w:id="9" w:name="_Toc15396476"/>
      <w:bookmarkStart w:id="10" w:name="_Toc15396598"/>
      <w:r>
        <w:rPr>
          <w:rFonts w:hint="eastAsia" w:ascii="方正小标宋简体" w:hAnsi="方正小标宋简体" w:eastAsia="方正小标宋简体" w:cs="方正小标宋简体"/>
          <w:color w:val="auto"/>
          <w:sz w:val="72"/>
          <w:szCs w:val="72"/>
          <w:highlight w:val="none"/>
        </w:rPr>
        <w:t>四川省</w:t>
      </w:r>
      <w:bookmarkEnd w:id="5"/>
      <w:bookmarkStart w:id="11" w:name="_Toc15306268"/>
      <w:r>
        <w:rPr>
          <w:rFonts w:hint="eastAsia" w:ascii="方正小标宋简体" w:hAnsi="方正小标宋简体" w:eastAsia="方正小标宋简体" w:cs="方正小标宋简体"/>
          <w:color w:val="auto"/>
          <w:sz w:val="72"/>
          <w:szCs w:val="72"/>
          <w:highlight w:val="none"/>
          <w:lang w:eastAsia="zh-CN"/>
        </w:rPr>
        <w:t>巴中市发展和改革委员会</w:t>
      </w:r>
      <w:r>
        <w:rPr>
          <w:rFonts w:hint="eastAsia" w:ascii="方正小标宋简体" w:hAnsi="方正小标宋简体" w:eastAsia="方正小标宋简体" w:cs="方正小标宋简体"/>
          <w:color w:val="auto"/>
          <w:sz w:val="72"/>
          <w:szCs w:val="72"/>
          <w:highlight w:val="none"/>
        </w:rPr>
        <w:t>部门决算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color w:val="auto"/>
          <w:sz w:val="52"/>
          <w:szCs w:val="52"/>
          <w:highlight w:val="none"/>
        </w:rPr>
      </w:pPr>
      <w:r>
        <w:rPr>
          <w:rFonts w:hint="eastAsia" w:ascii="方正小标宋简体" w:hAnsi="宋体" w:eastAsia="方正小标宋简体"/>
          <w:color w:val="auto"/>
          <w:sz w:val="52"/>
          <w:szCs w:val="52"/>
          <w:highlight w:val="none"/>
        </w:rPr>
        <w:t>(</w:t>
      </w:r>
      <w:r>
        <w:rPr>
          <w:rFonts w:hint="eastAsia" w:ascii="方正小标宋简体" w:hAnsi="宋体" w:eastAsia="方正小标宋简体"/>
          <w:color w:val="auto"/>
          <w:sz w:val="52"/>
          <w:szCs w:val="52"/>
          <w:highlight w:val="none"/>
          <w:lang w:eastAsia="zh-CN"/>
        </w:rPr>
        <w:t>部门公开</w:t>
      </w:r>
      <w:r>
        <w:rPr>
          <w:rFonts w:hint="eastAsia" w:ascii="方正小标宋简体" w:hAnsi="宋体" w:eastAsia="方正小标宋简体"/>
          <w:color w:val="auto"/>
          <w:sz w:val="52"/>
          <w:szCs w:val="52"/>
          <w:highlight w:val="none"/>
        </w:rPr>
        <w:t>范本)</w:t>
      </w:r>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0"/>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8</w:t>
      </w:r>
      <w:r>
        <w:rPr>
          <w:rFonts w:hint="eastAsia"/>
          <w:color w:val="auto"/>
          <w:highlight w:val="none"/>
        </w:rPr>
        <w:t>月</w:t>
      </w:r>
      <w:r>
        <w:rPr>
          <w:rFonts w:hint="eastAsia"/>
          <w:color w:val="auto"/>
          <w:highlight w:val="none"/>
          <w:lang w:val="en-US" w:eastAsia="zh-CN"/>
        </w:rPr>
        <w:t>29</w:t>
      </w:r>
      <w:r>
        <w:rPr>
          <w:rFonts w:hint="eastAsia"/>
          <w:color w:val="auto"/>
          <w:highlight w:val="none"/>
        </w:rPr>
        <w:t>日</w:t>
      </w:r>
    </w:p>
    <w:p>
      <w:pPr>
        <w:rPr>
          <w:color w:val="auto"/>
          <w:highlight w:val="none"/>
        </w:rPr>
      </w:pPr>
    </w:p>
    <w:p>
      <w:pPr>
        <w:pStyle w:val="10"/>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第一部分</w:t>
      </w:r>
      <w:r>
        <w:rPr>
          <w:color w:val="auto"/>
          <w:sz w:val="24"/>
          <w:highlight w:val="none"/>
        </w:rPr>
        <w:t xml:space="preserve"> </w:t>
      </w:r>
      <w:r>
        <w:rPr>
          <w:rFonts w:hint="eastAsia"/>
          <w:color w:val="auto"/>
          <w:sz w:val="24"/>
          <w:highlight w:val="none"/>
        </w:rPr>
        <w:t>部门概况</w:t>
      </w:r>
    </w:p>
    <w:p>
      <w:pPr>
        <w:pStyle w:val="11"/>
        <w:adjustRightInd w:val="0"/>
        <w:snapToGrid w:val="0"/>
        <w:spacing w:line="440" w:lineRule="exact"/>
        <w:jc w:val="left"/>
        <w:rPr>
          <w:rFonts w:ascii="仿宋" w:hAnsi="仿宋" w:eastAsia="仿宋"/>
          <w:color w:val="auto"/>
          <w:sz w:val="24"/>
          <w:highlight w:val="none"/>
        </w:rPr>
      </w:pPr>
      <w:r>
        <w:rPr>
          <w:rFonts w:hint="eastAsia"/>
          <w:color w:val="auto"/>
          <w:sz w:val="24"/>
          <w:highlight w:val="none"/>
        </w:rPr>
        <w:t>一、基本职能及主要工作</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二、机构设置</w:t>
      </w:r>
    </w:p>
    <w:p>
      <w:pPr>
        <w:pStyle w:val="10"/>
        <w:adjustRightInd w:val="0"/>
        <w:snapToGrid w:val="0"/>
        <w:spacing w:before="0" w:line="440" w:lineRule="exact"/>
        <w:jc w:val="left"/>
        <w:rPr>
          <w:color w:val="auto"/>
          <w:sz w:val="24"/>
          <w:szCs w:val="24"/>
          <w:highlight w:val="none"/>
        </w:rPr>
      </w:pPr>
      <w:r>
        <w:rPr>
          <w:rFonts w:hint="eastAsia"/>
          <w:color w:val="auto"/>
          <w:sz w:val="24"/>
          <w:highlight w:val="none"/>
        </w:rPr>
        <w:t>第二部分</w:t>
      </w:r>
      <w:r>
        <w:rPr>
          <w:rFonts w:hint="eastAsia"/>
          <w:color w:val="auto"/>
          <w:sz w:val="24"/>
          <w:highlight w:val="none"/>
          <w:lang w:val="en-US" w:eastAsia="zh-CN"/>
        </w:rPr>
        <w:t xml:space="preserve"> 2021年度</w:t>
      </w:r>
      <w:r>
        <w:rPr>
          <w:rFonts w:hint="eastAsia"/>
          <w:color w:val="auto"/>
          <w:sz w:val="24"/>
          <w:highlight w:val="none"/>
        </w:rPr>
        <w:t>部门决算情况说明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一、收入支出决算总体情况说明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二、收入决算情况说明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三、支出决算情况说明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四、财政拨款收入支出决算总体情况说明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五、一般公共预算财政拨款支出决算情况说明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六、一般公共预算财政拨款基本支出决算情况说明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七、</w:t>
      </w:r>
      <w:r>
        <w:rPr>
          <w:rFonts w:hint="eastAsia"/>
          <w:color w:val="auto"/>
          <w:sz w:val="24"/>
          <w:highlight w:val="none"/>
          <w:lang w:eastAsia="zh-CN"/>
        </w:rPr>
        <w:t>“</w:t>
      </w:r>
      <w:r>
        <w:rPr>
          <w:rFonts w:hint="eastAsia"/>
          <w:color w:val="auto"/>
          <w:sz w:val="24"/>
          <w:highlight w:val="none"/>
        </w:rPr>
        <w:t>三公”经费财政拨款支出决算情况说明</w:t>
      </w:r>
    </w:p>
    <w:p>
      <w:pPr>
        <w:pStyle w:val="11"/>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八、政府性基金预算支出决算情况说明</w:t>
      </w:r>
    </w:p>
    <w:p>
      <w:pPr>
        <w:pStyle w:val="11"/>
        <w:adjustRightInd w:val="0"/>
        <w:snapToGrid w:val="0"/>
        <w:spacing w:line="440" w:lineRule="exact"/>
        <w:ind w:leftChars="0"/>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九、</w:t>
      </w:r>
      <w:r>
        <w:rPr>
          <w:rFonts w:hint="eastAsia" w:asciiTheme="minorEastAsia" w:hAnsiTheme="minorEastAsia" w:eastAsiaTheme="minorEastAsia" w:cstheme="minorEastAsia"/>
          <w:color w:val="auto"/>
          <w:sz w:val="24"/>
          <w:highlight w:val="none"/>
          <w:lang w:eastAsia="zh-CN"/>
        </w:rPr>
        <w:t>国</w:t>
      </w:r>
      <w:r>
        <w:rPr>
          <w:rFonts w:hint="eastAsia" w:asciiTheme="minorEastAsia" w:hAnsiTheme="minorEastAsia" w:eastAsiaTheme="minorEastAsia" w:cstheme="minorEastAsia"/>
          <w:color w:val="auto"/>
          <w:sz w:val="24"/>
          <w:highlight w:val="none"/>
        </w:rPr>
        <w:t>有资本经营预算支出决算情况说明</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175"/>
        <w:jc w:val="left"/>
        <w:textAlignment w:val="auto"/>
        <w:rPr>
          <w:rFonts w:hint="eastAsia" w:asciiTheme="minorEastAsia" w:hAnsiTheme="minorEastAsia" w:eastAsiaTheme="minorEastAsia" w:cstheme="minorEastAsia"/>
          <w:color w:val="auto"/>
          <w:sz w:val="24"/>
          <w:highlight w:val="none"/>
        </w:rPr>
      </w:pPr>
      <w:r>
        <w:rPr>
          <w:rStyle w:val="15"/>
          <w:rFonts w:hint="eastAsia" w:asciiTheme="minorEastAsia" w:hAnsiTheme="minorEastAsia" w:eastAsiaTheme="minorEastAsia" w:cstheme="minorEastAsia"/>
          <w:color w:val="auto"/>
          <w:sz w:val="24"/>
          <w:highlight w:val="none"/>
          <w:u w:val="none"/>
          <w:lang w:eastAsia="zh-CN"/>
        </w:rPr>
        <w:t>十</w:t>
      </w:r>
      <w:r>
        <w:rPr>
          <w:rStyle w:val="15"/>
          <w:rFonts w:hint="eastAsia" w:asciiTheme="minorEastAsia" w:hAnsiTheme="minorEastAsia" w:eastAsiaTheme="minorEastAsia" w:cstheme="minorEastAsia"/>
          <w:color w:val="auto"/>
          <w:sz w:val="24"/>
          <w:highlight w:val="none"/>
          <w:u w:val="none"/>
        </w:rPr>
        <w:t>、</w:t>
      </w:r>
      <w:r>
        <w:rPr>
          <w:rFonts w:hint="eastAsia" w:asciiTheme="minorEastAsia" w:hAnsiTheme="minorEastAsia" w:eastAsiaTheme="minorEastAsia" w:cstheme="minorEastAsia"/>
          <w:color w:val="auto"/>
          <w:sz w:val="24"/>
          <w:highlight w:val="none"/>
        </w:rPr>
        <w:t>其他重要事项的情况说明</w:t>
      </w:r>
      <w:r>
        <w:rPr>
          <w:rFonts w:hint="eastAsia" w:asciiTheme="minorEastAsia" w:hAnsiTheme="minorEastAsia" w:eastAsiaTheme="minorEastAsia" w:cstheme="minorEastAsia"/>
          <w:color w:val="auto"/>
          <w:sz w:val="24"/>
          <w:highlight w:val="none"/>
        </w:rPr>
        <w:tab/>
      </w:r>
    </w:p>
    <w:p>
      <w:pPr>
        <w:pStyle w:val="10"/>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p>
    <w:p>
      <w:pPr>
        <w:pStyle w:val="10"/>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p>
    <w:p>
      <w:pPr>
        <w:pStyle w:val="10"/>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p>
    <w:p>
      <w:pPr>
        <w:pStyle w:val="11"/>
        <w:adjustRightInd w:val="0"/>
        <w:snapToGrid w:val="0"/>
        <w:spacing w:line="440" w:lineRule="exact"/>
        <w:jc w:val="left"/>
        <w:rPr>
          <w:rFonts w:ascii="仿宋" w:hAnsi="仿宋" w:eastAsia="仿宋" w:cstheme="minorBidi"/>
          <w:color w:val="auto"/>
          <w:sz w:val="24"/>
          <w:highlight w:val="none"/>
        </w:rPr>
      </w:pPr>
      <w:r>
        <w:rPr>
          <w:rFonts w:hint="eastAsia" w:ascii="仿宋" w:hAnsi="仿宋" w:eastAsia="仿宋"/>
          <w:color w:val="auto"/>
          <w:sz w:val="24"/>
          <w:highlight w:val="none"/>
        </w:rPr>
        <w:t>一、</w:t>
      </w:r>
      <w:r>
        <w:rPr>
          <w:rFonts w:hint="eastAsia"/>
          <w:color w:val="auto"/>
          <w:sz w:val="24"/>
          <w:highlight w:val="none"/>
        </w:rPr>
        <w:t>收入支出决算总表</w:t>
      </w:r>
    </w:p>
    <w:p>
      <w:pPr>
        <w:pStyle w:val="11"/>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二、收入决算表</w:t>
      </w:r>
    </w:p>
    <w:p>
      <w:pPr>
        <w:pStyle w:val="11"/>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三、支出决算表</w:t>
      </w:r>
    </w:p>
    <w:p>
      <w:pPr>
        <w:pStyle w:val="11"/>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四、财政拨款收入支出决算总表</w:t>
      </w:r>
    </w:p>
    <w:p>
      <w:pPr>
        <w:pStyle w:val="11"/>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五、财政拨款支出决算明细表</w:t>
      </w:r>
    </w:p>
    <w:p>
      <w:pPr>
        <w:pStyle w:val="11"/>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六、一般公共预算财政拨款支出决算表</w:t>
      </w:r>
    </w:p>
    <w:p>
      <w:pPr>
        <w:pStyle w:val="11"/>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七、一般公共预算财政拨款支出决算明细表</w:t>
      </w:r>
    </w:p>
    <w:p>
      <w:pPr>
        <w:pStyle w:val="11"/>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八、一般公共预算财政拨款基本支出决算表</w:t>
      </w:r>
    </w:p>
    <w:p>
      <w:pPr>
        <w:pStyle w:val="11"/>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九、一般公共预算财政拨款项目支出决算表</w:t>
      </w:r>
    </w:p>
    <w:p>
      <w:pPr>
        <w:pStyle w:val="11"/>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十、一般公共预算财政拨款“三公”经费支出决算表</w:t>
      </w:r>
    </w:p>
    <w:p>
      <w:pPr>
        <w:pStyle w:val="11"/>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十一、政府性基金预算财政拨款收入支出决算表</w:t>
      </w:r>
    </w:p>
    <w:p>
      <w:pPr>
        <w:pStyle w:val="11"/>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十二、政府性基金预算财政拨款“三公”经费支出决算表</w:t>
      </w:r>
    </w:p>
    <w:p>
      <w:pPr>
        <w:pStyle w:val="11"/>
        <w:adjustRightInd w:val="0"/>
        <w:snapToGrid w:val="0"/>
        <w:spacing w:line="440" w:lineRule="exact"/>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十三、国有资本经营预算</w:t>
      </w:r>
      <w:r>
        <w:rPr>
          <w:rFonts w:hint="eastAsia" w:asciiTheme="minorEastAsia" w:hAnsiTheme="minorEastAsia" w:eastAsiaTheme="minorEastAsia" w:cstheme="minorEastAsia"/>
          <w:color w:val="auto"/>
          <w:sz w:val="24"/>
          <w:highlight w:val="none"/>
          <w:lang w:eastAsia="zh-CN"/>
        </w:rPr>
        <w:t>财政拨款收入</w:t>
      </w:r>
      <w:r>
        <w:rPr>
          <w:rFonts w:hint="eastAsia" w:asciiTheme="minorEastAsia" w:hAnsiTheme="minorEastAsia" w:eastAsiaTheme="minorEastAsia" w:cstheme="minorEastAsia"/>
          <w:color w:val="auto"/>
          <w:sz w:val="24"/>
          <w:highlight w:val="none"/>
        </w:rPr>
        <w:t>支出决算表</w:t>
      </w:r>
    </w:p>
    <w:p>
      <w:pPr>
        <w:pStyle w:val="11"/>
        <w:adjustRightInd w:val="0"/>
        <w:snapToGrid w:val="0"/>
        <w:spacing w:line="440" w:lineRule="exact"/>
        <w:jc w:val="left"/>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十四、国有资本经营预算财政拨款支出决算表</w:t>
      </w:r>
    </w:p>
    <w:p>
      <w:pPr>
        <w:widowControl/>
        <w:adjustRightInd w:val="0"/>
        <w:snapToGrid w:val="0"/>
        <w:spacing w:line="440" w:lineRule="exact"/>
        <w:ind w:firstLine="1320" w:firstLineChars="550"/>
        <w:jc w:val="left"/>
        <w:rPr>
          <w:rFonts w:ascii="仿宋" w:hAnsi="仿宋" w:eastAsia="仿宋"/>
          <w:color w:val="auto"/>
          <w:sz w:val="24"/>
          <w:highlight w:val="none"/>
        </w:rPr>
      </w:pPr>
      <w:r>
        <w:rPr>
          <w:rFonts w:ascii="仿宋" w:hAnsi="仿宋" w:eastAsia="仿宋"/>
          <w:color w:val="auto"/>
          <w:sz w:val="24"/>
          <w:highlight w:val="none"/>
        </w:rPr>
        <w:t>(注：</w:t>
      </w:r>
      <w:r>
        <w:rPr>
          <w:rFonts w:hint="eastAsia" w:ascii="仿宋" w:hAnsi="仿宋" w:eastAsia="仿宋"/>
          <w:color w:val="auto"/>
          <w:sz w:val="24"/>
          <w:highlight w:val="none"/>
        </w:rPr>
        <w:t>请部门根据实际注明页码</w:t>
      </w:r>
      <w:r>
        <w:rPr>
          <w:rFonts w:ascii="仿宋" w:hAnsi="仿宋" w:eastAsia="仿宋"/>
          <w:color w:val="auto"/>
          <w:sz w:val="24"/>
          <w:highlight w:val="none"/>
        </w:rPr>
        <w:t>)</w:t>
      </w:r>
    </w:p>
    <w:p>
      <w:pPr>
        <w:widowControl/>
        <w:spacing w:line="440" w:lineRule="exact"/>
        <w:jc w:val="left"/>
        <w:rPr>
          <w:rFonts w:ascii="仿宋" w:hAnsi="仿宋" w:eastAsia="仿宋"/>
          <w:bCs/>
          <w:color w:val="auto"/>
          <w:kern w:val="44"/>
          <w:sz w:val="24"/>
          <w:highlight w:val="none"/>
        </w:rPr>
      </w:pPr>
      <w:bookmarkStart w:id="12" w:name="_Toc15377196"/>
      <w:bookmarkStart w:id="13" w:name="_Toc15396599"/>
      <w:r>
        <w:rPr>
          <w:rFonts w:ascii="仿宋" w:hAnsi="仿宋" w:eastAsia="仿宋"/>
          <w:b/>
          <w:color w:val="auto"/>
          <w:sz w:val="24"/>
          <w:highlight w:val="none"/>
        </w:rPr>
        <w:br w:type="page"/>
      </w:r>
    </w:p>
    <w:p>
      <w:pPr>
        <w:pStyle w:val="3"/>
        <w:jc w:val="center"/>
        <w:rPr>
          <w:rStyle w:val="24"/>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Style w:val="24"/>
          <w:rFonts w:hint="eastAsia" w:ascii="黑体" w:hAnsi="黑体" w:eastAsia="黑体"/>
          <w:b w:val="0"/>
          <w:bCs w:val="0"/>
          <w:color w:val="auto"/>
          <w:highlight w:val="none"/>
        </w:rPr>
        <w:t>部门概况</w:t>
      </w:r>
      <w:bookmarkEnd w:id="12"/>
      <w:bookmarkEnd w:id="13"/>
    </w:p>
    <w:p>
      <w:pPr>
        <w:widowControl/>
        <w:jc w:val="left"/>
        <w:rPr>
          <w:rFonts w:ascii="黑体" w:eastAsia="黑体"/>
          <w:color w:val="auto"/>
          <w:sz w:val="32"/>
          <w:szCs w:val="32"/>
          <w:highlight w:val="none"/>
        </w:rPr>
      </w:pPr>
    </w:p>
    <w:p>
      <w:pPr>
        <w:pStyle w:val="4"/>
        <w:rPr>
          <w:rStyle w:val="25"/>
          <w:rFonts w:ascii="仿宋" w:hAnsi="仿宋" w:eastAsia="仿宋"/>
          <w:b w:val="0"/>
          <w:bCs w:val="0"/>
          <w:color w:val="auto"/>
          <w:highlight w:val="none"/>
        </w:rPr>
      </w:pPr>
      <w:bookmarkStart w:id="14" w:name="_Toc15377197"/>
      <w:bookmarkStart w:id="15" w:name="_Toc15396600"/>
      <w:r>
        <w:rPr>
          <w:rFonts w:hint="eastAsia" w:ascii="黑体" w:hAnsi="黑体" w:eastAsia="黑体"/>
          <w:b w:val="0"/>
          <w:color w:val="auto"/>
          <w:highlight w:val="none"/>
        </w:rPr>
        <w:t>一、基</w:t>
      </w:r>
      <w:r>
        <w:rPr>
          <w:rStyle w:val="25"/>
          <w:rFonts w:hint="eastAsia" w:ascii="黑体" w:hAnsi="黑体" w:eastAsia="黑体"/>
          <w:b w:val="0"/>
          <w:bCs w:val="0"/>
          <w:color w:val="auto"/>
          <w:highlight w:val="none"/>
        </w:rPr>
        <w:t>本职能及主要工作</w:t>
      </w:r>
      <w:bookmarkEnd w:id="14"/>
      <w:bookmarkEnd w:id="15"/>
    </w:p>
    <w:p>
      <w:pPr>
        <w:pStyle w:val="2"/>
        <w:adjustRightInd w:val="0"/>
        <w:snapToGrid w:val="0"/>
        <w:spacing w:before="93" w:line="600" w:lineRule="exact"/>
        <w:ind w:firstLine="672" w:firstLineChars="210"/>
        <w:outlineLvl w:val="2"/>
        <w:rPr>
          <w:rFonts w:ascii="仿宋" w:hAnsi="仿宋" w:eastAsia="仿宋"/>
          <w:bCs/>
          <w:color w:val="auto"/>
          <w:sz w:val="32"/>
          <w:szCs w:val="32"/>
          <w:highlight w:val="none"/>
        </w:rPr>
      </w:pPr>
      <w:bookmarkStart w:id="16" w:name="_Toc15377198"/>
      <w:bookmarkStart w:id="17" w:name="_Toc15378445"/>
      <w:r>
        <w:rPr>
          <w:rFonts w:hint="eastAsia" w:ascii="仿宋" w:hAnsi="仿宋" w:eastAsia="仿宋"/>
          <w:bCs/>
          <w:color w:val="auto"/>
          <w:sz w:val="32"/>
          <w:szCs w:val="32"/>
          <w:highlight w:val="none"/>
        </w:rPr>
        <w:t>（一）主要职能。（职能参照省政府批准的三定方案）</w:t>
      </w:r>
      <w:bookmarkEnd w:id="16"/>
      <w:bookmarkEnd w:id="17"/>
    </w:p>
    <w:p>
      <w:pPr>
        <w:pStyle w:val="2"/>
        <w:adjustRightInd w:val="0"/>
        <w:snapToGrid w:val="0"/>
        <w:spacing w:before="93" w:line="600" w:lineRule="exact"/>
        <w:ind w:firstLine="672" w:firstLineChars="210"/>
        <w:outlineLvl w:val="2"/>
        <w:rPr>
          <w:rFonts w:hint="eastAsia" w:ascii="仿宋" w:hAnsi="仿宋" w:eastAsia="仿宋"/>
          <w:bCs/>
          <w:color w:val="auto"/>
          <w:sz w:val="32"/>
          <w:szCs w:val="32"/>
          <w:highlight w:val="none"/>
        </w:rPr>
      </w:pPr>
      <w:bookmarkStart w:id="18" w:name="_Toc15377199"/>
      <w:bookmarkStart w:id="19" w:name="_Toc15378446"/>
      <w:r>
        <w:rPr>
          <w:rFonts w:hint="eastAsia" w:ascii="仿宋" w:hAnsi="仿宋" w:eastAsia="仿宋"/>
          <w:color w:val="auto"/>
          <w:sz w:val="32"/>
          <w:szCs w:val="32"/>
          <w:highlight w:val="none"/>
        </w:rPr>
        <w:t>巴中市发展和改革委员会是综合研究拟定全市经济和社会发展政策的政府管理部门。主要承担贯彻实施国家、省、市有关国民经济和社会发展、经济体制改革的方针、政策和法律、法规；拟订全市有关国民经济和社会发展、经济体制改革的规范性文件；拟订并组织实施全市国民经济和社会发展战略、中长期规划和年度计划；统筹提出国民经济和社会发展主要目标，监测预警宏观经济和社会发展态势，提出宏观调控政策建议；指导推进和综合协调全市经济体制改革有关工作，提出相关改革建议；负责汇总分析全市财政、金融等方面情况，参与拟订全市财政政策、金融政策、自然资源政策和生态环境政策；负责投资综合管理，拟订全社会固定资产投资总规模、投资结构目标和措施，会同有关部门拟订政府投资项目审批权限和政府核准的固定资产投资项目目录；推进落实区域协调发展战略、新型城镇化战略和重大政策，组织拟订相关区域规划和政策；组织拟订全市综合性产业政策。协调第一二三产业发展重大问题并统筹衔接相关发展规划和重大政策；负责全市社会发展与国民经济发展的政策衔接，协调有关重大问题；推动实施创新驱动发展战略，会同相关部门拟订全市推动创新创业的规划和政策，提出创新发展和培育经济发展新动能的政策；贯彻实施国家、省、市价格方针政策和法律法规，编制和执行价格调整改革规划，提出年度价格总水平调控目标及价格调控措施并组织实施；贯彻执行国家、省、市国家粮食流通和物资储备的方针政策及法律法规；负责拟订能源发展战略，拟订能源发展总体规划和行业规划、产业政策并组织实施；会同有关部门加大革命老区、贫困地区经济发展重大政策的研究和争取等工作。</w:t>
      </w:r>
    </w:p>
    <w:p>
      <w:pPr>
        <w:pStyle w:val="2"/>
        <w:adjustRightInd w:val="0"/>
        <w:snapToGrid w:val="0"/>
        <w:spacing w:before="93" w:line="600" w:lineRule="exact"/>
        <w:ind w:firstLine="672" w:firstLineChars="210"/>
        <w:outlineLvl w:val="2"/>
        <w:rPr>
          <w:rFonts w:ascii="仿宋" w:hAnsi="仿宋" w:eastAsia="仿宋"/>
          <w:bCs/>
          <w:color w:val="auto"/>
          <w:sz w:val="32"/>
          <w:szCs w:val="32"/>
          <w:highlight w:val="none"/>
        </w:rPr>
      </w:pPr>
      <w:r>
        <w:rPr>
          <w:rFonts w:hint="eastAsia" w:ascii="仿宋" w:hAnsi="仿宋" w:eastAsia="仿宋"/>
          <w:bCs/>
          <w:color w:val="auto"/>
          <w:sz w:val="32"/>
          <w:szCs w:val="32"/>
          <w:highlight w:val="none"/>
        </w:rPr>
        <w:t>（二）</w:t>
      </w:r>
      <w:r>
        <w:rPr>
          <w:rFonts w:ascii="仿宋" w:hAnsi="仿宋" w:eastAsia="仿宋"/>
          <w:bCs/>
          <w:color w:val="auto"/>
          <w:sz w:val="32"/>
          <w:szCs w:val="32"/>
          <w:highlight w:val="none"/>
        </w:rPr>
        <w:t>20</w:t>
      </w:r>
      <w:r>
        <w:rPr>
          <w:rFonts w:hint="eastAsia" w:ascii="仿宋" w:hAnsi="仿宋" w:eastAsia="仿宋"/>
          <w:bCs/>
          <w:color w:val="auto"/>
          <w:sz w:val="32"/>
          <w:szCs w:val="32"/>
          <w:highlight w:val="none"/>
          <w:lang w:val="en-US" w:eastAsia="zh-CN"/>
        </w:rPr>
        <w:t>21</w:t>
      </w:r>
      <w:r>
        <w:rPr>
          <w:rFonts w:hint="eastAsia" w:ascii="仿宋" w:hAnsi="仿宋" w:eastAsia="仿宋"/>
          <w:bCs/>
          <w:color w:val="auto"/>
          <w:sz w:val="32"/>
          <w:szCs w:val="32"/>
          <w:highlight w:val="none"/>
        </w:rPr>
        <w:t>年重点工作完成情况。</w:t>
      </w:r>
      <w:bookmarkEnd w:id="18"/>
      <w:bookmarkEnd w:id="19"/>
    </w:p>
    <w:p>
      <w:pPr>
        <w:ind w:firstLine="640" w:firstLineChars="200"/>
        <w:rPr>
          <w:rFonts w:hint="eastAsia" w:ascii="仿宋" w:hAnsi="仿宋" w:eastAsia="仿宋"/>
          <w:color w:val="auto"/>
          <w:sz w:val="32"/>
          <w:szCs w:val="32"/>
          <w:highlight w:val="none"/>
        </w:rPr>
      </w:pPr>
      <w:bookmarkStart w:id="20" w:name="_Toc15377200"/>
      <w:bookmarkStart w:id="21" w:name="_Toc15396601"/>
      <w:r>
        <w:rPr>
          <w:rFonts w:hint="eastAsia" w:ascii="仿宋" w:hAnsi="仿宋" w:eastAsia="仿宋"/>
          <w:color w:val="auto"/>
          <w:sz w:val="32"/>
          <w:szCs w:val="32"/>
          <w:highlight w:val="none"/>
        </w:rPr>
        <w:t>一、统筹疫情防控和经济发展，保持经济稳定运行</w:t>
      </w:r>
    </w:p>
    <w:p>
      <w:pPr>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坚持“外防输入、内防反弹”，抓好内外共防、人物同防。认真落实有效应对疫情稳定经济运行9条、支持中小企业渡过难关8条等政策，及时评估督导政策落实情况。全力以赴保供稳价，加强市场价格监测，有效组织商品供应。做好机场、火车站等重点场所和冷链物流等重点环节疫情防控工作。认真落实“稳农业、强工业、促消费、扩内需、抓项目、重创新、畅循环、提质量”工作思路，强化经济运行监测预警，实行月研判、季分析，准确把握三次产业特别是重点支撑行业运行态势，及时协调解决具体问题。细化年度目标指标、重大项目和重点任务，压紧压实责任，强化过程跟踪，实现一季度“开门红”，确保全年预期目标实现。</w:t>
      </w:r>
    </w:p>
    <w:p>
      <w:pPr>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积极争取省支持县域经济高质量发展25条政策，制定加快县域经济发展年度工作方案。以区县挂牌推进项目为抓手，奋力推进重大项目建设进度，加快转化有效投资。加强县域经济发展指导，引导各区县差异化、特色化发展，指导区县积极争创县域经济发展先进县、天府旅游名县。</w:t>
      </w:r>
    </w:p>
    <w:p>
      <w:pPr>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二、抓好规划编制实施，构建科学完备的规划体系</w:t>
      </w:r>
    </w:p>
    <w:p>
      <w:pPr>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对照省规划纲要，修改完善全市“十四五”规划和2035年远景目标纲要（草案），市人代会审议通过后公开发布。细化分解“十四五”规划纲要目标指标、重点事项和责任单位，建立健全推进机制，加快推动任务落地落实，特别是计划在今年实施的重大项目，要加快前期工作，尽快开工建设。切实加强与省级专项规划对接争取，力争更多重大项目、重点事项纳入省上规划，确保重点专项规划于2021年7月底前印发实施，一般专项规划于2021年9月底前印发实施，对接省级规划制定的承接实施方案在省级规划印发2个月内完成。做好专项规划、区县规划纲要与市规划纲要衔接工作，形成完整的规划体系。积极对接成渝地区双城经济圈建设规划纲要、特殊类型地区振兴发展规划、川陕革命老区发展规划等国省规划，围绕“三市两地一枢纽”目标定位，细化梳理我市融入成渝地区双城经济圈建设政策清单、项目清单、改革清单。主动融入万达开川渝统筹发展示范区建设，推动在规划衔接、资源开发、基础建设、改革创新等领域加强协作，支持平昌县、通江县与达州毗邻区县搭建合作平台。</w:t>
      </w:r>
    </w:p>
    <w:p>
      <w:pPr>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三、强化项目投资，深入实施“重大项目推进年”部署</w:t>
      </w:r>
    </w:p>
    <w:p>
      <w:pPr>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坚持市级领导挂联重大项目、季度召开重大项目推进会、市级重点项目考核“红黑榜”机制，落实“月报告、季考核、年奖惩”以及重点项目联席工作会议等制度，强化项目调度，全力推进重大项目建设，实现一季度开工75%以上、半年100%。全年实现全社会固定资产投资增长5%以上，力争达到7%。力争省重项目和投资运行进入全省“红榜”。认真梳理国、省、市释放的系列政策措施，包装储备一批专项债券、中央和省预算内投资项目，全市新增储备项目330个，估算总投资1000亿元以上，开工建设180个以上。加大“两新一重”等项目争取力度，加强跟踪落实，争取到位中央、省预算内资金20亿元以上；督促指导地方政府专项债券项目业主做好“一案两书”编制，力争更多专项债券下达我市。加快推进汉巴南铁路南充至巴中段建设；积极推进汉巴南铁路巴中至汉中段、广巴铁路扩能改造前期工作；扎实推进天然气资源就地转化，完成巴中燃机项目一期90万千瓦可研评审；大力推进2020年洪涝灾害恢复重建项目建设；10月底前竣工乡镇干部周转房建设；加快实施老旧小区改造、棚户区改造、重点水利工程、重点民生专项等领域项目。全年实现11个省级重点项目完成投资61.5亿元、307个市级重点项目完成投资855亿元、70个挂牌项目完成投资295亿元。</w:t>
      </w:r>
    </w:p>
    <w:p>
      <w:pPr>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四、立足高质量发展，推动更高水平的改革开放</w:t>
      </w:r>
    </w:p>
    <w:p>
      <w:pPr>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一）推进重点领域改革。深化供给侧结构性改革，稳步推进要素市场化改革，持续做好融入成渝地区双城经济圈建设重点改革，深入推进新一轮全面创新改革试验工作，协调推进《巴中市对接落实省深入推进全面创新改革试验实施方案重点任务清单》落地落实。持续做好工程实验室和研究中心申报、评估工作。积极开展涉政府产权纠纷治理、培训疗养机构改革等改革工作。</w:t>
      </w:r>
    </w:p>
    <w:p>
      <w:pPr>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二）持续优化营商环境。加强信用体系建设，依法依规做好失信行为认定、记录、归集、共享、公开、惩戒和信用修复等工作，开展失信约束措施清理规范。深化落实“马上办、网上办、一次办”“最多跑一次”政务服务改革，加强行政审批事项办理情况跟踪监督和业务指导，积极开展营商环境评价。巩固政府投资工程建设项目投标投标系统治理成效，加强常态化监督管理。</w:t>
      </w:r>
    </w:p>
    <w:p>
      <w:pPr>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三）推动区域协同发展。积极融入成渝地区双城经济圈建设，持续完善“四张清单”，深化与重庆市发展改革委、江北区战略合作事项；深入对接万达开川渝统筹示范区和川东北渝东北一体化发展。推进成（都）巴（中）协同发展，落实“空中快巴”航线补贴，承接成都产业转移12条优惠政策，建立“总部在成都、基地在巴中”合作模式。推进川东北经济区协同发展，抓好 “三个十大”项目和市级合作协议落实。</w:t>
      </w:r>
    </w:p>
    <w:p>
      <w:pPr>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五、着力保障改善民生，不断提高公共服务能力水平</w:t>
      </w:r>
    </w:p>
    <w:p>
      <w:pPr>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一）巩固脱贫攻坚成果。巩固脱贫攻坚成果同乡村振兴有效衔接。加大易地扶贫搬迁后续扶持力度，开展在农业农村基础设施建设领域推广以工代赈方式探索实践。持续推进电网升级改造，完成民生实事配网升级改造，加快广元昭化至巴中500千伏线路工程、南江东榆110千伏输变电工程建设；开工建设恩阳玉山110千伏输变电工程、平昌凤凰110千伏变电站主变扩建工程；竣工投运平昌城南110千伏输变电工程。深化东西部协作，继续推动丽（水）巴（中）在“两山理论”实践、对外开放合作、乡村振兴发展等方面交流合作，保持在产业、项目、劳务等6个方面结对协作，建立优势互补、互利互惠、合作双赢的新型协作模式。抓好驻村帮扶工作。</w:t>
      </w:r>
    </w:p>
    <w:p>
      <w:pPr>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二）推进生态优先发展。做好年度节能“双控”工作，严格执行节能审查制度，完成省下达单位GDP能耗下降目标。优化能源结构，提高清洁能源消费比重，建设充电站5座、充电桩150个。推进采煤沉陷区综合治理，力争南江县、通江县采煤沉陷区治理纳入国家示范项目。积极推进“河长制”和森林防灭火基础设施建设专项整治工作。</w:t>
      </w:r>
    </w:p>
    <w:p>
      <w:pPr>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三）做好粮食物资储备。全面落实粮食安全党政同责。新增地方粮油储备稻谷2.5万吨、应急成品粮0.62万吨、散装菜籽油0.2万吨、应急小包装油0.06万吨。争取低温储备库仓容20万吨，加快推进巴中粮食现代物流园等7个粮食项目建设，南江县、通江县做好“中国好粮油”示范县绩效评价迎检工作。抓好粮油质量安全监管，严禁不符合食品安全标准粮食流入口粮市场。抓好应急救灾等重要物资储备，做到有备无患。</w:t>
      </w:r>
    </w:p>
    <w:p>
      <w:pPr>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四）加强价格调控监管。加强价格调控和监测，密切关注市场价格动态，合理引导社会预期，确保市场价格总水平不超过省下达调控目标。强化政府定价成本监管，完成天然气配气价格核定，调整市本级自来水销售价格。加强价格认定工作，做好涉案财物价格认定和复核。</w:t>
      </w:r>
    </w:p>
    <w:p>
      <w:pPr>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六、加强党的建设，全面落实从严治党主体责任</w:t>
      </w:r>
    </w:p>
    <w:p>
      <w:pPr>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一）加强党的政治建设。坚持以习近平新时代中国特色社会主义思想为指导，增强“四个意识”、坚定“四个自信”、做到“两个维护”，深入学习贯彻党的十九届四中、五中全会，省委十一届七次、八次全会，市委四届十次、十一次全会精神。巩固拓展“不忘初心、牢记使命”主题教育成果，扎实开展党史学习教育，落实党组书记、机关党委书记、党支部书记抓党建责任，营造风清气正的政治生态。</w:t>
      </w:r>
    </w:p>
    <w:p>
      <w:pPr>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二）加强党的思想建设。深入学习贯彻习近平新时代中国特色社会主义思想，开展“读书月”活动，创建学习型党支部。把意识形态工作责任制落实到加强党的建设各项工作中，与中心工作同部署、同落实。加强思想文化宣传，组织开展庆祝建党100周年活动，党组成员中心组理论学习6次以上。</w:t>
      </w:r>
    </w:p>
    <w:p>
      <w:pPr>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三）加强党的组织建设。贯彻落实《基层组织工作条例》，分解细化党建工作目标任务，形成目标确定、季度督查、考核评议、问题整改“闭环管理”。推进党务干部业务培训。开展系统内党性党风党纪教育。落实“三会一课”“主题党日”等制度，开展优秀基层党支部创建活动。加强和改进党员发展和教育管理工作。</w:t>
      </w:r>
    </w:p>
    <w:p>
      <w:pPr>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四）加强党的作风建设。建立健全督查督办等管理制度，通过月度督办、季度通报、半年小结、年终考核等手段，推动各项工作落地落实。深入开展“机关病”问题整改，有效解决官僚主义、形式主义突出问题，不断提升工作效能。加强调查研究，深入基层一线，扎实为基层办好事、办实事、解难事，努力打造政治坚定、雷厉风行、追求一流、团结协作、廉洁示范的发展改革干部队伍。</w:t>
      </w:r>
    </w:p>
    <w:p>
      <w:pPr>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五）加强党风廉政建设。认真贯彻中央和省、市纪委全会精神，认真落实党风廉政建设责任制，切实肩负起党风廉政建设主体责任和“一岗双责”。全面梳理廉政风险点，加大廉政风险防控力度，确保重点领域和关键环节阳光透明、合理合法。建立健全分层分类施教机制，定期开展法制教育、示范教育、警示教育、廉政谈话等，增强廉政教育的针对性和实效性。强化制度规定刚性执行，用制度管权、管事、管人。</w:t>
      </w:r>
    </w:p>
    <w:p>
      <w:pPr>
        <w:ind w:firstLine="640" w:firstLineChars="200"/>
        <w:rPr>
          <w:rFonts w:hint="eastAsia" w:ascii="黑体" w:eastAsia="黑体"/>
          <w:b w:val="0"/>
          <w:color w:val="auto"/>
          <w:highlight w:val="none"/>
        </w:rPr>
      </w:pPr>
      <w:r>
        <w:rPr>
          <w:rFonts w:hint="eastAsia" w:ascii="仿宋" w:hAnsi="仿宋" w:eastAsia="仿宋"/>
          <w:color w:val="auto"/>
          <w:sz w:val="32"/>
          <w:szCs w:val="32"/>
          <w:highlight w:val="none"/>
        </w:rPr>
        <w:t>常态化抓好防范化解重大风险、城乡基层治理、安全生产、食品安全、信访稳定、扫黑除恶、综治、防邪、禁毒、城乡环境综合治理、五创联动、河湖长制、依法治理、“两案”办理等工作。</w:t>
      </w:r>
    </w:p>
    <w:p>
      <w:pPr>
        <w:pStyle w:val="4"/>
        <w:rPr>
          <w:rStyle w:val="25"/>
          <w:b w:val="0"/>
          <w:bCs w:val="0"/>
          <w:color w:val="auto"/>
          <w:highlight w:val="none"/>
        </w:rPr>
      </w:pPr>
      <w:r>
        <w:rPr>
          <w:rFonts w:hint="eastAsia" w:ascii="黑体" w:eastAsia="黑体"/>
          <w:b w:val="0"/>
          <w:color w:val="auto"/>
          <w:highlight w:val="none"/>
        </w:rPr>
        <w:t>二、</w:t>
      </w:r>
      <w:r>
        <w:rPr>
          <w:rFonts w:hint="eastAsia" w:ascii="黑体" w:hAnsi="黑体" w:eastAsia="黑体"/>
          <w:b w:val="0"/>
          <w:color w:val="auto"/>
          <w:highlight w:val="none"/>
        </w:rPr>
        <w:t>机</w:t>
      </w:r>
      <w:r>
        <w:rPr>
          <w:rStyle w:val="25"/>
          <w:rFonts w:hint="eastAsia" w:ascii="黑体" w:hAnsi="黑体" w:eastAsia="黑体"/>
          <w:b w:val="0"/>
          <w:bCs w:val="0"/>
          <w:color w:val="auto"/>
          <w:highlight w:val="none"/>
        </w:rPr>
        <w:t>构设置</w:t>
      </w:r>
      <w:bookmarkEnd w:id="20"/>
      <w:bookmarkEnd w:id="21"/>
    </w:p>
    <w:p>
      <w:pPr>
        <w:ind w:firstLine="800" w:firstLineChars="250"/>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t>巴中市发展和改革委员会</w:t>
      </w:r>
      <w:r>
        <w:rPr>
          <w:rFonts w:hint="eastAsia" w:ascii="仿宋" w:hAnsi="仿宋" w:eastAsia="仿宋"/>
          <w:color w:val="auto"/>
          <w:sz w:val="32"/>
          <w:szCs w:val="32"/>
          <w:highlight w:val="none"/>
        </w:rPr>
        <w:t>下属二级单位</w:t>
      </w:r>
      <w:r>
        <w:rPr>
          <w:rFonts w:hint="eastAsia" w:ascii="仿宋" w:hAnsi="仿宋" w:eastAsia="仿宋"/>
          <w:color w:val="auto"/>
          <w:sz w:val="32"/>
          <w:szCs w:val="32"/>
          <w:highlight w:val="none"/>
          <w:lang w:val="en-US" w:eastAsia="zh-CN"/>
        </w:rPr>
        <w:t>4</w:t>
      </w:r>
      <w:r>
        <w:rPr>
          <w:rFonts w:hint="eastAsia" w:ascii="仿宋" w:hAnsi="仿宋" w:eastAsia="仿宋"/>
          <w:color w:val="auto"/>
          <w:sz w:val="32"/>
          <w:szCs w:val="32"/>
          <w:highlight w:val="none"/>
        </w:rPr>
        <w:t>个，其中行政单位</w:t>
      </w:r>
      <w:r>
        <w:rPr>
          <w:rFonts w:hint="eastAsia" w:ascii="仿宋" w:hAnsi="仿宋" w:eastAsia="仿宋"/>
          <w:color w:val="auto"/>
          <w:sz w:val="32"/>
          <w:szCs w:val="32"/>
          <w:highlight w:val="none"/>
          <w:lang w:val="en-US" w:eastAsia="zh-CN"/>
        </w:rPr>
        <w:t>1</w:t>
      </w:r>
      <w:r>
        <w:rPr>
          <w:rFonts w:hint="eastAsia" w:ascii="仿宋" w:hAnsi="仿宋" w:eastAsia="仿宋"/>
          <w:color w:val="auto"/>
          <w:sz w:val="32"/>
          <w:szCs w:val="32"/>
          <w:highlight w:val="none"/>
        </w:rPr>
        <w:t>个，参照公务员法管理的事业单位</w:t>
      </w:r>
      <w:r>
        <w:rPr>
          <w:rFonts w:hint="eastAsia" w:ascii="仿宋" w:hAnsi="仿宋" w:eastAsia="仿宋"/>
          <w:bCs/>
          <w:color w:val="auto"/>
          <w:sz w:val="32"/>
          <w:szCs w:val="32"/>
          <w:highlight w:val="none"/>
          <w:lang w:val="en-US" w:eastAsia="zh-CN"/>
        </w:rPr>
        <w:t>0</w:t>
      </w:r>
      <w:r>
        <w:rPr>
          <w:rFonts w:hint="eastAsia" w:ascii="仿宋" w:hAnsi="仿宋" w:eastAsia="仿宋"/>
          <w:color w:val="auto"/>
          <w:sz w:val="32"/>
          <w:szCs w:val="32"/>
          <w:highlight w:val="none"/>
        </w:rPr>
        <w:t>个，其他事业单位</w:t>
      </w:r>
      <w:r>
        <w:rPr>
          <w:rFonts w:hint="eastAsia" w:ascii="仿宋" w:hAnsi="仿宋" w:eastAsia="仿宋"/>
          <w:color w:val="auto"/>
          <w:sz w:val="32"/>
          <w:szCs w:val="32"/>
          <w:highlight w:val="none"/>
          <w:lang w:val="en-US" w:eastAsia="zh-CN"/>
        </w:rPr>
        <w:t>3</w:t>
      </w:r>
      <w:r>
        <w:rPr>
          <w:rFonts w:hint="eastAsia" w:ascii="仿宋" w:hAnsi="仿宋" w:eastAsia="仿宋"/>
          <w:color w:val="auto"/>
          <w:sz w:val="32"/>
          <w:szCs w:val="32"/>
          <w:highlight w:val="none"/>
        </w:rPr>
        <w:t>个。</w:t>
      </w:r>
    </w:p>
    <w:p>
      <w:pPr>
        <w:pStyle w:val="2"/>
        <w:adjustRightInd w:val="0"/>
        <w:snapToGrid w:val="0"/>
        <w:spacing w:before="93" w:line="600" w:lineRule="exact"/>
        <w:ind w:firstLine="672" w:firstLineChars="21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纳入</w:t>
      </w:r>
      <w:r>
        <w:rPr>
          <w:rFonts w:hint="eastAsia" w:ascii="仿宋" w:hAnsi="仿宋" w:eastAsia="仿宋"/>
          <w:color w:val="auto"/>
          <w:sz w:val="32"/>
          <w:szCs w:val="32"/>
          <w:highlight w:val="none"/>
          <w:lang w:eastAsia="zh-CN"/>
        </w:rPr>
        <w:t>巴中市发展和改革委员会</w:t>
      </w: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年度部门决算编制范围的二级预算单位包括：</w:t>
      </w:r>
    </w:p>
    <w:p>
      <w:pPr>
        <w:pStyle w:val="2"/>
        <w:adjustRightInd w:val="0"/>
        <w:snapToGrid w:val="0"/>
        <w:spacing w:before="93" w:line="600" w:lineRule="exact"/>
        <w:ind w:firstLine="672" w:firstLineChars="21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val="en-US" w:eastAsia="zh-CN"/>
        </w:rPr>
        <w:t>1.</w:t>
      </w:r>
      <w:r>
        <w:rPr>
          <w:rFonts w:hint="eastAsia" w:ascii="仿宋" w:hAnsi="仿宋" w:eastAsia="仿宋"/>
          <w:color w:val="auto"/>
          <w:sz w:val="32"/>
          <w:szCs w:val="32"/>
          <w:highlight w:val="none"/>
          <w:lang w:eastAsia="zh-CN"/>
        </w:rPr>
        <w:t>巴中市发展和改革委员会</w:t>
      </w:r>
    </w:p>
    <w:p>
      <w:pPr>
        <w:pStyle w:val="2"/>
        <w:numPr>
          <w:ilvl w:val="0"/>
          <w:numId w:val="0"/>
        </w:numPr>
        <w:adjustRightInd w:val="0"/>
        <w:snapToGrid w:val="0"/>
        <w:spacing w:before="93" w:line="600" w:lineRule="exact"/>
        <w:ind w:left="672" w:leftChars="0"/>
        <w:outlineLvl w:val="2"/>
        <w:rPr>
          <w:rFonts w:ascii="仿宋" w:hAnsi="仿宋" w:eastAsia="仿宋"/>
          <w:color w:val="auto"/>
          <w:sz w:val="32"/>
          <w:szCs w:val="32"/>
          <w:highlight w:val="none"/>
        </w:rPr>
      </w:pPr>
      <w:bookmarkStart w:id="22" w:name="_Toc15306276"/>
      <w:bookmarkStart w:id="23" w:name="_Toc15377433"/>
      <w:bookmarkStart w:id="24" w:name="_Toc15377202"/>
      <w:bookmarkStart w:id="25" w:name="_Toc15378449"/>
      <w:r>
        <w:rPr>
          <w:rFonts w:hint="eastAsia" w:ascii="仿宋" w:hAnsi="仿宋" w:eastAsia="仿宋"/>
          <w:color w:val="auto"/>
          <w:sz w:val="32"/>
          <w:szCs w:val="32"/>
          <w:highlight w:val="none"/>
          <w:lang w:val="en-US" w:eastAsia="zh-CN"/>
        </w:rPr>
        <w:t>2.</w:t>
      </w:r>
      <w:r>
        <w:rPr>
          <w:rFonts w:hint="eastAsia" w:ascii="仿宋" w:hAnsi="仿宋" w:eastAsia="仿宋"/>
          <w:color w:val="auto"/>
          <w:sz w:val="32"/>
          <w:szCs w:val="32"/>
          <w:highlight w:val="none"/>
          <w:lang w:eastAsia="zh-CN"/>
        </w:rPr>
        <w:t>巴中市应急救灾物资储备中心</w:t>
      </w:r>
      <w:bookmarkEnd w:id="22"/>
      <w:bookmarkEnd w:id="23"/>
      <w:bookmarkEnd w:id="24"/>
      <w:bookmarkEnd w:id="25"/>
    </w:p>
    <w:p>
      <w:pPr>
        <w:pStyle w:val="2"/>
        <w:numPr>
          <w:ilvl w:val="0"/>
          <w:numId w:val="0"/>
        </w:numPr>
        <w:adjustRightInd w:val="0"/>
        <w:snapToGrid w:val="0"/>
        <w:spacing w:before="93" w:line="600" w:lineRule="exact"/>
        <w:ind w:left="672" w:leftChars="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val="en-US" w:eastAsia="zh-CN"/>
        </w:rPr>
        <w:t>3.</w:t>
      </w:r>
      <w:r>
        <w:rPr>
          <w:rFonts w:hint="eastAsia" w:ascii="仿宋" w:hAnsi="仿宋" w:eastAsia="仿宋"/>
          <w:color w:val="auto"/>
          <w:sz w:val="32"/>
          <w:szCs w:val="32"/>
          <w:highlight w:val="none"/>
          <w:lang w:eastAsia="zh-CN"/>
        </w:rPr>
        <w:t>巴中市粮油质量监测站</w:t>
      </w:r>
    </w:p>
    <w:p>
      <w:pPr>
        <w:pStyle w:val="2"/>
        <w:numPr>
          <w:ilvl w:val="0"/>
          <w:numId w:val="0"/>
        </w:numPr>
        <w:adjustRightInd w:val="0"/>
        <w:snapToGrid w:val="0"/>
        <w:spacing w:before="93" w:line="600" w:lineRule="exact"/>
        <w:ind w:left="672" w:leftChars="0"/>
        <w:rPr>
          <w:rFonts w:ascii="仿宋" w:hAnsi="仿宋" w:eastAsia="仿宋"/>
          <w:color w:val="auto"/>
          <w:kern w:val="0"/>
          <w:sz w:val="32"/>
          <w:szCs w:val="32"/>
          <w:highlight w:val="none"/>
        </w:rPr>
      </w:pPr>
      <w:r>
        <w:rPr>
          <w:rFonts w:hint="eastAsia" w:ascii="仿宋" w:hAnsi="仿宋" w:eastAsia="仿宋"/>
          <w:color w:val="auto"/>
          <w:sz w:val="32"/>
          <w:szCs w:val="32"/>
          <w:highlight w:val="none"/>
          <w:lang w:val="en-US" w:eastAsia="zh-CN"/>
        </w:rPr>
        <w:t>4.</w:t>
      </w:r>
      <w:r>
        <w:rPr>
          <w:rFonts w:hint="eastAsia" w:ascii="仿宋" w:hAnsi="仿宋" w:eastAsia="仿宋"/>
          <w:color w:val="auto"/>
          <w:sz w:val="32"/>
          <w:szCs w:val="32"/>
          <w:highlight w:val="none"/>
          <w:lang w:eastAsia="zh-CN"/>
        </w:rPr>
        <w:t>巴中市军粮供应管理中心</w:t>
      </w:r>
    </w:p>
    <w:p>
      <w:pPr>
        <w:pStyle w:val="3"/>
        <w:ind w:right="440"/>
        <w:jc w:val="center"/>
        <w:rPr>
          <w:rStyle w:val="24"/>
          <w:rFonts w:ascii="黑体" w:hAnsi="黑体" w:eastAsia="黑体"/>
          <w:b w:val="0"/>
          <w:bCs/>
          <w:color w:val="auto"/>
          <w:highlight w:val="none"/>
        </w:rPr>
      </w:pPr>
      <w:bookmarkStart w:id="26" w:name="_Toc15377204"/>
      <w:bookmarkStart w:id="27" w:name="_Toc15396602"/>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4"/>
          <w:rFonts w:hint="eastAsia" w:ascii="黑体" w:hAnsi="黑体" w:eastAsia="黑体"/>
          <w:b w:val="0"/>
          <w:bCs/>
          <w:color w:val="auto"/>
          <w:highlight w:val="none"/>
        </w:rPr>
        <w:t>部门决算情况说明</w:t>
      </w:r>
      <w:bookmarkEnd w:id="26"/>
      <w:bookmarkEnd w:id="27"/>
    </w:p>
    <w:p>
      <w:pPr>
        <w:rPr>
          <w:color w:val="auto"/>
          <w:highlight w:val="none"/>
        </w:rPr>
      </w:pPr>
    </w:p>
    <w:p>
      <w:pPr>
        <w:pStyle w:val="23"/>
        <w:numPr>
          <w:ilvl w:val="0"/>
          <w:numId w:val="1"/>
        </w:numPr>
        <w:spacing w:line="600" w:lineRule="exact"/>
        <w:ind w:firstLineChars="0"/>
        <w:outlineLvl w:val="1"/>
        <w:rPr>
          <w:rStyle w:val="25"/>
          <w:rFonts w:ascii="黑体" w:hAnsi="黑体" w:eastAsia="黑体"/>
          <w:b w:val="0"/>
          <w:color w:val="auto"/>
          <w:highlight w:val="none"/>
        </w:rPr>
      </w:pPr>
      <w:bookmarkStart w:id="28" w:name="_Toc15396603"/>
      <w:bookmarkStart w:id="29" w:name="_Toc15377205"/>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入支出决算总体情况说明</w:t>
      </w:r>
      <w:bookmarkEnd w:id="28"/>
      <w:bookmarkEnd w:id="29"/>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7788.15</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年相比，收、支总计各减少</w:t>
      </w:r>
      <w:r>
        <w:rPr>
          <w:rFonts w:hint="eastAsia" w:ascii="仿宋" w:hAnsi="仿宋" w:eastAsia="仿宋"/>
          <w:color w:val="auto"/>
          <w:sz w:val="32"/>
          <w:szCs w:val="32"/>
          <w:highlight w:val="none"/>
          <w:lang w:val="en-US" w:eastAsia="zh-CN"/>
        </w:rPr>
        <w:t>9456.26</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54.84</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航线补助支出减少。</w:t>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：收、支决算总计变动情况图）（柱状图）</w:t>
      </w:r>
    </w:p>
    <w:p>
      <w:pPr>
        <w:spacing w:line="600" w:lineRule="exact"/>
        <w:ind w:firstLine="640" w:firstLineChars="200"/>
        <w:jc w:val="left"/>
        <w:rPr>
          <w:rFonts w:ascii="仿宋_GB2312" w:eastAsia="仿宋_GB2312"/>
          <w:color w:val="auto"/>
          <w:sz w:val="32"/>
          <w:szCs w:val="32"/>
          <w:highlight w:val="none"/>
        </w:rPr>
      </w:pPr>
    </w:p>
    <w:p>
      <w:pPr>
        <w:pStyle w:val="23"/>
        <w:numPr>
          <w:ilvl w:val="0"/>
          <w:numId w:val="1"/>
        </w:numPr>
        <w:spacing w:line="600" w:lineRule="exact"/>
        <w:ind w:firstLineChars="0"/>
        <w:outlineLvl w:val="1"/>
        <w:rPr>
          <w:rStyle w:val="25"/>
          <w:rFonts w:ascii="黑体" w:hAnsi="黑体" w:eastAsia="黑体"/>
          <w:b w:val="0"/>
          <w:color w:val="auto"/>
          <w:highlight w:val="none"/>
        </w:rPr>
      </w:pPr>
      <w:bookmarkStart w:id="30" w:name="_Toc15377206"/>
      <w:bookmarkStart w:id="31" w:name="_Toc15396604"/>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入决算情况说明</w:t>
      </w:r>
      <w:bookmarkEnd w:id="30"/>
      <w:bookmarkEnd w:id="31"/>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5713.33</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3969.33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69.47</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1744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30.53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国有资本经营预算财政拨款收入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；上级补助收入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；事业收入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；附属单位上缴收入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3" w:firstLineChars="200"/>
        <w:outlineLvl w:val="1"/>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01表</w:t>
      </w:r>
      <w:r>
        <w:rPr>
          <w:rFonts w:hint="eastAsia" w:ascii="仿宋" w:hAnsi="仿宋" w:eastAsia="仿宋"/>
          <w:b/>
          <w:color w:val="auto"/>
          <w:sz w:val="32"/>
          <w:szCs w:val="32"/>
          <w:highlight w:val="none"/>
          <w:lang w:eastAsia="zh-CN"/>
        </w:rPr>
        <w:t>，仅罗列本部门涉及的收入。</w:t>
      </w:r>
      <w:r>
        <w:rPr>
          <w:rFonts w:ascii="仿宋" w:hAnsi="仿宋" w:eastAsia="仿宋"/>
          <w:b/>
          <w:color w:val="auto"/>
          <w:sz w:val="32"/>
          <w:szCs w:val="32"/>
          <w:highlight w:val="none"/>
        </w:rPr>
        <w:t>）</w:t>
      </w:r>
    </w:p>
    <w:p>
      <w:pPr>
        <w:spacing w:line="600" w:lineRule="exact"/>
        <w:ind w:firstLine="640" w:firstLineChars="200"/>
        <w:outlineLvl w:val="1"/>
        <w:rPr>
          <w:rFonts w:ascii="仿宋" w:hAnsi="仿宋" w:eastAsia="仿宋"/>
          <w:color w:val="auto"/>
          <w:sz w:val="32"/>
          <w:szCs w:val="32"/>
          <w:highlight w:val="none"/>
        </w:rPr>
      </w:pP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（图2：收入决算结构图）（饼状图）</w:t>
      </w:r>
    </w:p>
    <w:p>
      <w:pPr>
        <w:spacing w:line="600" w:lineRule="exact"/>
        <w:ind w:firstLine="640" w:firstLineChars="200"/>
        <w:rPr>
          <w:rFonts w:ascii="仿宋_GB2312" w:eastAsia="仿宋_GB2312"/>
          <w:color w:val="auto"/>
          <w:sz w:val="32"/>
          <w:szCs w:val="32"/>
          <w:highlight w:val="none"/>
        </w:rPr>
      </w:pPr>
    </w:p>
    <w:p>
      <w:pPr>
        <w:pStyle w:val="23"/>
        <w:numPr>
          <w:ilvl w:val="0"/>
          <w:numId w:val="1"/>
        </w:numPr>
        <w:spacing w:line="600" w:lineRule="exact"/>
        <w:ind w:firstLineChars="0"/>
        <w:outlineLvl w:val="1"/>
        <w:rPr>
          <w:rStyle w:val="25"/>
          <w:rFonts w:ascii="黑体" w:hAnsi="黑体" w:eastAsia="黑体"/>
          <w:b w:val="0"/>
          <w:color w:val="auto"/>
          <w:highlight w:val="none"/>
        </w:rPr>
      </w:pPr>
      <w:bookmarkStart w:id="32" w:name="_Toc15377207"/>
      <w:bookmarkStart w:id="33" w:name="_Toc15396605"/>
      <w:r>
        <w:rPr>
          <w:rFonts w:hint="eastAsia" w:ascii="黑体" w:hAnsi="黑体" w:eastAsia="黑体"/>
          <w:color w:val="auto"/>
          <w:sz w:val="32"/>
          <w:szCs w:val="32"/>
          <w:highlight w:val="none"/>
        </w:rPr>
        <w:t>支</w:t>
      </w:r>
      <w:r>
        <w:rPr>
          <w:rStyle w:val="25"/>
          <w:rFonts w:hint="eastAsia" w:ascii="黑体" w:hAnsi="黑体" w:eastAsia="黑体"/>
          <w:b w:val="0"/>
          <w:color w:val="auto"/>
          <w:highlight w:val="none"/>
        </w:rPr>
        <w:t>出决算情况说明</w:t>
      </w:r>
      <w:bookmarkEnd w:id="32"/>
      <w:bookmarkEnd w:id="33"/>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7551.11</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2421.35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32.07</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5129.76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67.93</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；上缴上级支出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；对附属单位补助支出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3" w:firstLineChars="200"/>
        <w:outlineLvl w:val="1"/>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04</w:t>
      </w:r>
      <w:r>
        <w:rPr>
          <w:rFonts w:hint="eastAsia" w:ascii="仿宋" w:hAnsi="仿宋" w:eastAsia="仿宋"/>
          <w:b/>
          <w:color w:val="auto"/>
          <w:sz w:val="32"/>
          <w:szCs w:val="32"/>
          <w:highlight w:val="none"/>
        </w:rPr>
        <w:t>表</w:t>
      </w:r>
      <w:r>
        <w:rPr>
          <w:rFonts w:hint="eastAsia" w:ascii="仿宋" w:hAnsi="仿宋" w:eastAsia="仿宋"/>
          <w:b/>
          <w:color w:val="auto"/>
          <w:sz w:val="32"/>
          <w:szCs w:val="32"/>
          <w:highlight w:val="none"/>
          <w:lang w:eastAsia="zh-CN"/>
        </w:rPr>
        <w:t>，仅罗列本部门涉及的支出。</w:t>
      </w:r>
      <w:r>
        <w:rPr>
          <w:rFonts w:hint="eastAsia" w:ascii="仿宋" w:hAnsi="仿宋" w:eastAsia="仿宋"/>
          <w:b/>
          <w:color w:val="auto"/>
          <w:sz w:val="32"/>
          <w:szCs w:val="32"/>
          <w:highlight w:val="none"/>
        </w:rPr>
        <w:t>）</w:t>
      </w:r>
    </w:p>
    <w:p>
      <w:pPr>
        <w:spacing w:line="600" w:lineRule="exact"/>
        <w:ind w:firstLine="640"/>
        <w:rPr>
          <w:rFonts w:ascii="仿宋" w:hAnsi="仿宋" w:eastAsia="仿宋"/>
          <w:color w:val="auto"/>
          <w:sz w:val="32"/>
          <w:szCs w:val="32"/>
          <w:highlight w:val="none"/>
          <w:shd w:val="pct10" w:color="auto" w:fill="FFFFFF"/>
        </w:rPr>
      </w:pP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（图3：支出决算结构图）（饼状图）</w:t>
      </w:r>
    </w:p>
    <w:p>
      <w:pPr>
        <w:spacing w:line="600" w:lineRule="exact"/>
        <w:ind w:firstLine="640" w:firstLineChars="200"/>
        <w:rPr>
          <w:rFonts w:ascii="仿宋_GB2312" w:eastAsia="仿宋_GB2312"/>
          <w:color w:val="auto"/>
          <w:sz w:val="32"/>
          <w:szCs w:val="32"/>
          <w:highlight w:val="none"/>
        </w:rPr>
      </w:pPr>
    </w:p>
    <w:p>
      <w:pPr>
        <w:spacing w:line="600" w:lineRule="exact"/>
        <w:ind w:firstLine="640" w:firstLineChars="200"/>
        <w:outlineLvl w:val="1"/>
        <w:rPr>
          <w:rStyle w:val="25"/>
          <w:rFonts w:ascii="黑体" w:hAnsi="黑体" w:eastAsia="黑体"/>
          <w:b w:val="0"/>
          <w:color w:val="auto"/>
          <w:highlight w:val="none"/>
        </w:rPr>
      </w:pPr>
      <w:bookmarkStart w:id="34" w:name="_Toc15377208"/>
      <w:bookmarkStart w:id="35" w:name="_Toc15396606"/>
      <w:r>
        <w:rPr>
          <w:rFonts w:hint="eastAsia" w:ascii="黑体" w:hAnsi="黑体" w:eastAsia="黑体"/>
          <w:color w:val="auto"/>
          <w:sz w:val="32"/>
          <w:szCs w:val="32"/>
          <w:highlight w:val="none"/>
        </w:rPr>
        <w:t>四、财</w:t>
      </w:r>
      <w:r>
        <w:rPr>
          <w:rStyle w:val="25"/>
          <w:rFonts w:hint="eastAsia" w:ascii="黑体" w:hAnsi="黑体" w:eastAsia="黑体"/>
          <w:b w:val="0"/>
          <w:color w:val="auto"/>
          <w:highlight w:val="none"/>
        </w:rPr>
        <w:t>政拨款收入支出决算总体情况说明</w:t>
      </w:r>
      <w:bookmarkEnd w:id="34"/>
      <w:bookmarkEnd w:id="35"/>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7788.15</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年相比，财政拨款收、支总计各减少</w:t>
      </w:r>
      <w:r>
        <w:rPr>
          <w:rFonts w:hint="eastAsia" w:ascii="仿宋" w:hAnsi="仿宋" w:eastAsia="仿宋"/>
          <w:color w:val="auto"/>
          <w:sz w:val="32"/>
          <w:szCs w:val="32"/>
          <w:highlight w:val="none"/>
          <w:lang w:val="en-US" w:eastAsia="zh-CN"/>
        </w:rPr>
        <w:t>9456.26</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54.84</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航线补助支出减少。</w:t>
      </w:r>
    </w:p>
    <w:p>
      <w:pPr>
        <w:spacing w:line="600" w:lineRule="exact"/>
        <w:ind w:firstLine="640"/>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01-1</w:t>
      </w:r>
      <w:r>
        <w:rPr>
          <w:rFonts w:hint="eastAsia" w:ascii="仿宋" w:hAnsi="仿宋" w:eastAsia="仿宋"/>
          <w:b/>
          <w:color w:val="auto"/>
          <w:sz w:val="32"/>
          <w:szCs w:val="32"/>
          <w:highlight w:val="none"/>
        </w:rPr>
        <w:t>表</w:t>
      </w:r>
      <w:r>
        <w:rPr>
          <w:rFonts w:ascii="仿宋" w:hAnsi="仿宋" w:eastAsia="仿宋"/>
          <w:b/>
          <w:color w:val="auto"/>
          <w:sz w:val="32"/>
          <w:szCs w:val="32"/>
          <w:highlight w:val="none"/>
        </w:rPr>
        <w:t>）</w:t>
      </w:r>
    </w:p>
    <w:p>
      <w:pPr>
        <w:spacing w:line="600" w:lineRule="exact"/>
        <w:rPr>
          <w:rFonts w:ascii="仿宋" w:hAnsi="仿宋" w:eastAsia="仿宋"/>
          <w:color w:val="auto"/>
          <w:sz w:val="32"/>
          <w:szCs w:val="32"/>
          <w:highlight w:val="none"/>
        </w:rPr>
      </w:pP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（图4：财政拨款收、支决算总计变动情况）（柱状图）</w:t>
      </w:r>
    </w:p>
    <w:p>
      <w:pPr>
        <w:spacing w:line="600" w:lineRule="exact"/>
        <w:ind w:firstLine="640"/>
        <w:rPr>
          <w:rFonts w:ascii="仿宋" w:hAnsi="仿宋" w:eastAsia="仿宋"/>
          <w:b/>
          <w:color w:val="auto"/>
          <w:sz w:val="32"/>
          <w:szCs w:val="32"/>
          <w:highlight w:val="none"/>
        </w:rPr>
      </w:pPr>
    </w:p>
    <w:p>
      <w:pPr>
        <w:spacing w:line="600" w:lineRule="exact"/>
        <w:ind w:firstLine="640" w:firstLineChars="200"/>
        <w:outlineLvl w:val="1"/>
        <w:rPr>
          <w:rStyle w:val="25"/>
          <w:rFonts w:ascii="黑体" w:hAnsi="黑体" w:eastAsia="黑体"/>
          <w:b w:val="0"/>
          <w:color w:val="auto"/>
          <w:highlight w:val="none"/>
        </w:rPr>
      </w:pPr>
      <w:bookmarkStart w:id="36" w:name="_Toc15377209"/>
      <w:bookmarkStart w:id="37" w:name="_Toc15396607"/>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般公共预算财政拨款支出决算情况说明</w:t>
      </w:r>
      <w:bookmarkEnd w:id="36"/>
      <w:bookmarkEnd w:id="37"/>
    </w:p>
    <w:p>
      <w:pPr>
        <w:spacing w:line="600" w:lineRule="exact"/>
        <w:ind w:firstLine="643" w:firstLineChars="200"/>
        <w:outlineLvl w:val="2"/>
        <w:rPr>
          <w:rFonts w:ascii="仿宋" w:hAnsi="仿宋" w:eastAsia="仿宋"/>
          <w:b/>
          <w:color w:val="auto"/>
          <w:sz w:val="32"/>
          <w:szCs w:val="32"/>
          <w:highlight w:val="none"/>
        </w:rPr>
      </w:pPr>
      <w:bookmarkStart w:id="38" w:name="_Toc15377210"/>
      <w:r>
        <w:rPr>
          <w:rFonts w:hint="eastAsia" w:ascii="仿宋" w:hAnsi="仿宋" w:eastAsia="仿宋"/>
          <w:b/>
          <w:color w:val="auto"/>
          <w:sz w:val="32"/>
          <w:szCs w:val="32"/>
          <w:highlight w:val="none"/>
        </w:rPr>
        <w:t>（一）一般公共预算财政拨款支出决算总体情况</w:t>
      </w:r>
      <w:bookmarkEnd w:id="38"/>
    </w:p>
    <w:p>
      <w:pPr>
        <w:spacing w:line="600" w:lineRule="exact"/>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5807.11</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76.9</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减少</w:t>
      </w:r>
      <w:r>
        <w:rPr>
          <w:rFonts w:hint="eastAsia" w:ascii="仿宋" w:hAnsi="仿宋" w:eastAsia="仿宋"/>
          <w:color w:val="auto"/>
          <w:sz w:val="32"/>
          <w:szCs w:val="32"/>
          <w:highlight w:val="none"/>
          <w:lang w:val="en-US" w:eastAsia="zh-CN"/>
        </w:rPr>
        <w:t>6755.06</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47.22</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航线补助支出减少。</w:t>
      </w:r>
    </w:p>
    <w:p>
      <w:pPr>
        <w:spacing w:line="600" w:lineRule="exact"/>
        <w:ind w:firstLine="640" w:firstLineChars="200"/>
        <w:rPr>
          <w:rFonts w:ascii="仿宋" w:hAnsi="仿宋" w:eastAsia="仿宋"/>
          <w:color w:val="auto"/>
          <w:sz w:val="32"/>
          <w:szCs w:val="32"/>
          <w:highlight w:val="none"/>
        </w:rPr>
      </w:pP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（图5：一般公共预算财政拨款支出决算变动情况）（柱状图）</w:t>
      </w:r>
    </w:p>
    <w:p>
      <w:pPr>
        <w:spacing w:line="600" w:lineRule="exact"/>
        <w:ind w:firstLine="640" w:firstLineChars="200"/>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39" w:name="_Toc15377211"/>
      <w:r>
        <w:rPr>
          <w:rFonts w:hint="eastAsia" w:ascii="仿宋" w:hAnsi="仿宋" w:eastAsia="仿宋"/>
          <w:b/>
          <w:color w:val="auto"/>
          <w:sz w:val="32"/>
          <w:szCs w:val="32"/>
          <w:highlight w:val="none"/>
        </w:rPr>
        <w:t>（二）一般公共预算财政拨款支出决算结构情况</w:t>
      </w:r>
      <w:bookmarkEnd w:id="39"/>
    </w:p>
    <w:p>
      <w:pPr>
        <w:spacing w:line="600" w:lineRule="exact"/>
        <w:ind w:firstLine="640"/>
        <w:rPr>
          <w:rFonts w:hint="eastAsia" w:ascii="仿宋" w:hAnsi="仿宋" w:eastAsia="仿宋"/>
          <w:color w:val="auto"/>
          <w:sz w:val="32"/>
          <w:szCs w:val="32"/>
          <w:highlight w:val="none"/>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5807.11</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一般公共服务（类）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4594.14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79.11</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教育支出（类）</w:t>
      </w:r>
      <w:r>
        <w:rPr>
          <w:rFonts w:hint="eastAsia" w:ascii="仿宋" w:hAnsi="仿宋" w:eastAsia="仿宋"/>
          <w:color w:val="auto"/>
          <w:sz w:val="32"/>
          <w:szCs w:val="32"/>
          <w:highlight w:val="none"/>
          <w:lang w:val="en-US" w:eastAsia="zh-CN"/>
        </w:rPr>
        <w:t>4.53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0.08</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科学技术（类）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文化旅游体育与传媒（类）支出</w:t>
      </w:r>
      <w:r>
        <w:rPr>
          <w:rFonts w:hint="eastAsia" w:ascii="仿宋" w:hAnsi="仿宋" w:eastAsia="仿宋"/>
          <w:b/>
          <w:bCs/>
          <w:color w:val="auto"/>
          <w:sz w:val="32"/>
          <w:szCs w:val="32"/>
          <w:highlight w:val="none"/>
          <w:lang w:val="en-US" w:eastAsia="zh-CN"/>
        </w:rPr>
        <w:t>0</w:t>
      </w:r>
      <w:r>
        <w:rPr>
          <w:rFonts w:hint="eastAsia" w:ascii="仿宋" w:hAnsi="仿宋" w:eastAsia="仿宋"/>
          <w:b/>
          <w:bCs/>
          <w:color w:val="auto"/>
          <w:sz w:val="32"/>
          <w:szCs w:val="32"/>
          <w:highlight w:val="none"/>
        </w:rPr>
        <w:t>万元，占</w:t>
      </w:r>
      <w:r>
        <w:rPr>
          <w:rFonts w:hint="eastAsia" w:ascii="仿宋" w:hAnsi="仿宋" w:eastAsia="仿宋"/>
          <w:b/>
          <w:bCs/>
          <w:color w:val="auto"/>
          <w:sz w:val="32"/>
          <w:szCs w:val="32"/>
          <w:highlight w:val="none"/>
          <w:lang w:val="en-US" w:eastAsia="zh-CN"/>
        </w:rPr>
        <w:t>0</w:t>
      </w:r>
      <w:r>
        <w:rPr>
          <w:rFonts w:ascii="仿宋" w:hAnsi="仿宋" w:eastAsia="仿宋"/>
          <w:b/>
          <w:bCs/>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162.21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2.79</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color w:val="auto"/>
          <w:sz w:val="32"/>
          <w:szCs w:val="32"/>
          <w:highlight w:val="none"/>
          <w:lang w:val="en-US" w:eastAsia="zh-CN"/>
        </w:rPr>
        <w:t>98.47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1.7</w:t>
      </w:r>
      <w:r>
        <w:rPr>
          <w:rFonts w:ascii="仿宋" w:hAnsi="仿宋" w:eastAsia="仿宋"/>
          <w:color w:val="auto"/>
          <w:sz w:val="32"/>
          <w:szCs w:val="32"/>
          <w:highlight w:val="none"/>
        </w:rPr>
        <w:t>%</w:t>
      </w:r>
      <w:r>
        <w:rPr>
          <w:rFonts w:hint="eastAsia" w:ascii="仿宋" w:hAnsi="仿宋" w:eastAsia="仿宋"/>
          <w:color w:val="auto"/>
          <w:sz w:val="32"/>
          <w:szCs w:val="32"/>
          <w:highlight w:val="none"/>
        </w:rPr>
        <w:t>；住房保障支出</w:t>
      </w:r>
      <w:r>
        <w:rPr>
          <w:rFonts w:hint="eastAsia" w:ascii="仿宋" w:hAnsi="仿宋" w:eastAsia="仿宋"/>
          <w:color w:val="auto"/>
          <w:sz w:val="32"/>
          <w:szCs w:val="32"/>
          <w:highlight w:val="none"/>
          <w:lang w:val="en-US" w:eastAsia="zh-CN"/>
        </w:rPr>
        <w:t>116.4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2.83</w:t>
      </w:r>
      <w:r>
        <w:rPr>
          <w:rFonts w:ascii="仿宋" w:hAnsi="仿宋" w:eastAsia="仿宋"/>
          <w:color w:val="auto"/>
          <w:sz w:val="32"/>
          <w:szCs w:val="32"/>
          <w:highlight w:val="none"/>
        </w:rPr>
        <w:t>%</w:t>
      </w:r>
      <w:r>
        <w:rPr>
          <w:rFonts w:hint="eastAsia" w:ascii="仿宋" w:hAnsi="仿宋" w:eastAsia="仿宋"/>
          <w:color w:val="auto"/>
          <w:sz w:val="32"/>
          <w:szCs w:val="32"/>
          <w:highlight w:val="none"/>
        </w:rPr>
        <w:t>；粮油物资储备支出</w:t>
      </w:r>
      <w:r>
        <w:rPr>
          <w:rFonts w:hint="eastAsia" w:ascii="仿宋" w:hAnsi="仿宋" w:eastAsia="仿宋"/>
          <w:color w:val="auto"/>
          <w:sz w:val="32"/>
          <w:szCs w:val="32"/>
          <w:highlight w:val="none"/>
          <w:lang w:val="en-US" w:eastAsia="zh-CN"/>
        </w:rPr>
        <w:t>783.84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13.5</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p>
    <w:p>
      <w:pPr>
        <w:spacing w:line="600" w:lineRule="exact"/>
        <w:ind w:firstLine="640"/>
        <w:rPr>
          <w:rFonts w:ascii="仿宋" w:hAnsi="仿宋" w:eastAsia="仿宋"/>
          <w:b/>
          <w:color w:val="auto"/>
          <w:sz w:val="32"/>
          <w:szCs w:val="32"/>
          <w:highlight w:val="none"/>
        </w:rPr>
      </w:pPr>
      <w:r>
        <w:rPr>
          <w:rFonts w:hint="eastAsia" w:ascii="仿宋" w:hAnsi="仿宋" w:eastAsia="仿宋"/>
          <w:b/>
          <w:color w:val="auto"/>
          <w:sz w:val="32"/>
          <w:szCs w:val="32"/>
          <w:highlight w:val="none"/>
        </w:rPr>
        <w:t>（</w:t>
      </w:r>
      <w:r>
        <w:rPr>
          <w:rFonts w:hint="eastAsia" w:ascii="仿宋" w:hAnsi="仿宋" w:eastAsia="仿宋"/>
          <w:b/>
          <w:color w:val="auto"/>
          <w:sz w:val="32"/>
          <w:szCs w:val="32"/>
          <w:highlight w:val="none"/>
          <w:lang w:eastAsia="zh-CN"/>
        </w:rPr>
        <w:t>注：数据来源于财决</w:t>
      </w:r>
      <w:r>
        <w:rPr>
          <w:rFonts w:hint="eastAsia" w:ascii="仿宋" w:hAnsi="仿宋" w:eastAsia="仿宋"/>
          <w:b/>
          <w:color w:val="auto"/>
          <w:sz w:val="32"/>
          <w:szCs w:val="32"/>
          <w:highlight w:val="none"/>
          <w:lang w:val="en-US" w:eastAsia="zh-CN"/>
        </w:rPr>
        <w:t>01-1表，仅</w:t>
      </w:r>
      <w:r>
        <w:rPr>
          <w:rFonts w:hint="eastAsia" w:ascii="仿宋" w:hAnsi="仿宋" w:eastAsia="仿宋"/>
          <w:b/>
          <w:color w:val="auto"/>
          <w:sz w:val="32"/>
          <w:szCs w:val="32"/>
          <w:highlight w:val="none"/>
        </w:rPr>
        <w:t>罗列</w:t>
      </w:r>
      <w:r>
        <w:rPr>
          <w:rFonts w:hint="eastAsia" w:ascii="仿宋" w:hAnsi="仿宋" w:eastAsia="仿宋"/>
          <w:b/>
          <w:color w:val="auto"/>
          <w:sz w:val="32"/>
          <w:szCs w:val="32"/>
          <w:highlight w:val="none"/>
          <w:lang w:eastAsia="zh-CN"/>
        </w:rPr>
        <w:t>本部门涉及的全部</w:t>
      </w:r>
      <w:r>
        <w:rPr>
          <w:rFonts w:hint="eastAsia" w:ascii="仿宋" w:hAnsi="仿宋" w:eastAsia="仿宋"/>
          <w:b/>
          <w:color w:val="auto"/>
          <w:sz w:val="32"/>
          <w:szCs w:val="32"/>
          <w:highlight w:val="none"/>
        </w:rPr>
        <w:t>功能分类科目，至类级。）</w:t>
      </w:r>
    </w:p>
    <w:p>
      <w:pPr>
        <w:spacing w:line="600" w:lineRule="exact"/>
        <w:ind w:firstLine="640"/>
        <w:rPr>
          <w:rFonts w:ascii="仿宋" w:hAnsi="仿宋" w:eastAsia="仿宋"/>
          <w:color w:val="auto"/>
          <w:sz w:val="32"/>
          <w:szCs w:val="32"/>
          <w:highlight w:val="none"/>
        </w:rPr>
      </w:pP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（图6：一般公共预算财政拨款支出决算结构）（饼状图）</w:t>
      </w:r>
    </w:p>
    <w:p>
      <w:pPr>
        <w:spacing w:line="600" w:lineRule="exact"/>
        <w:ind w:firstLine="640" w:firstLineChars="200"/>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40" w:name="_Toc15377212"/>
      <w:r>
        <w:rPr>
          <w:rFonts w:hint="eastAsia" w:ascii="仿宋" w:hAnsi="仿宋" w:eastAsia="仿宋"/>
          <w:b/>
          <w:color w:val="auto"/>
          <w:sz w:val="32"/>
          <w:szCs w:val="32"/>
          <w:highlight w:val="none"/>
        </w:rPr>
        <w:t>（三）一般公共预算财政拨款支出决算具体情况</w:t>
      </w:r>
      <w:bookmarkEnd w:id="40"/>
    </w:p>
    <w:p>
      <w:pPr>
        <w:spacing w:line="600" w:lineRule="exact"/>
        <w:ind w:firstLine="643" w:firstLineChars="200"/>
        <w:outlineLvl w:val="2"/>
        <w:rPr>
          <w:rFonts w:ascii="仿宋" w:hAnsi="仿宋" w:eastAsia="仿宋"/>
          <w:color w:val="auto"/>
          <w:sz w:val="32"/>
          <w:szCs w:val="32"/>
          <w:highlight w:val="none"/>
        </w:rPr>
      </w:pPr>
      <w:bookmarkStart w:id="41" w:name="_Toc15377444"/>
      <w:bookmarkStart w:id="42" w:name="_Toc15377213"/>
      <w:bookmarkStart w:id="43" w:name="_Toc15378460"/>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5807.11万元</w:t>
      </w:r>
      <w:r>
        <w:rPr>
          <w:rFonts w:hint="eastAsia" w:ascii="仿宋" w:hAnsi="仿宋" w:eastAsia="仿宋"/>
          <w:color w:val="auto"/>
          <w:sz w:val="32"/>
          <w:szCs w:val="32"/>
          <w:highlight w:val="none"/>
        </w:rPr>
        <w:t>，</w:t>
      </w:r>
      <w:r>
        <w:rPr>
          <w:rStyle w:val="14"/>
          <w:rFonts w:hint="eastAsia" w:ascii="仿宋" w:hAnsi="仿宋" w:eastAsia="仿宋"/>
          <w:bCs/>
          <w:color w:val="auto"/>
          <w:sz w:val="32"/>
          <w:szCs w:val="32"/>
          <w:highlight w:val="none"/>
        </w:rPr>
        <w:t>完成预算</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。其中：</w:t>
      </w:r>
      <w:bookmarkEnd w:id="41"/>
      <w:bookmarkEnd w:id="42"/>
      <w:bookmarkEnd w:id="43"/>
    </w:p>
    <w:p>
      <w:pPr>
        <w:spacing w:line="600" w:lineRule="exact"/>
        <w:ind w:firstLine="643" w:firstLineChars="200"/>
        <w:rPr>
          <w:rFonts w:ascii="仿宋" w:hAnsi="仿宋" w:eastAsia="仿宋"/>
          <w:b/>
          <w:color w:val="auto"/>
          <w:sz w:val="32"/>
          <w:szCs w:val="32"/>
          <w:highlight w:val="none"/>
        </w:rPr>
      </w:pPr>
      <w:r>
        <w:rPr>
          <w:rStyle w:val="14"/>
          <w:rFonts w:ascii="仿宋" w:hAnsi="仿宋" w:eastAsia="仿宋"/>
          <w:bCs/>
          <w:color w:val="auto"/>
          <w:sz w:val="32"/>
          <w:szCs w:val="32"/>
          <w:highlight w:val="none"/>
        </w:rPr>
        <w:t>1.</w:t>
      </w:r>
      <w:r>
        <w:rPr>
          <w:rStyle w:val="14"/>
          <w:rFonts w:hint="eastAsia" w:ascii="仿宋" w:hAnsi="仿宋" w:eastAsia="仿宋"/>
          <w:bCs/>
          <w:color w:val="auto"/>
          <w:sz w:val="32"/>
          <w:szCs w:val="32"/>
          <w:highlight w:val="none"/>
        </w:rPr>
        <w:t>一般公共服务（类）</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（款）</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Fonts w:hint="eastAsia" w:ascii="仿宋" w:hAnsi="仿宋" w:eastAsia="仿宋"/>
          <w:color w:val="auto"/>
          <w:sz w:val="32"/>
          <w:szCs w:val="32"/>
          <w:highlight w:val="none"/>
          <w:lang w:val="en-US" w:eastAsia="zh-CN"/>
        </w:rPr>
        <w:t>4594.14</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，决算数小于</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等于预算数的主要原因是…。</w:t>
      </w:r>
    </w:p>
    <w:p>
      <w:pPr>
        <w:spacing w:line="600" w:lineRule="exact"/>
        <w:ind w:firstLine="643" w:firstLineChars="200"/>
        <w:rPr>
          <w:rFonts w:ascii="仿宋" w:hAnsi="仿宋" w:eastAsia="仿宋"/>
          <w:b/>
          <w:color w:val="auto"/>
          <w:sz w:val="32"/>
          <w:szCs w:val="32"/>
          <w:highlight w:val="none"/>
        </w:rPr>
      </w:pPr>
      <w:r>
        <w:rPr>
          <w:rStyle w:val="14"/>
          <w:rFonts w:ascii="仿宋" w:hAnsi="仿宋" w:eastAsia="仿宋"/>
          <w:bCs/>
          <w:color w:val="auto"/>
          <w:sz w:val="32"/>
          <w:szCs w:val="32"/>
          <w:highlight w:val="none"/>
        </w:rPr>
        <w:t>2.</w:t>
      </w:r>
      <w:r>
        <w:rPr>
          <w:rStyle w:val="14"/>
          <w:rFonts w:hint="eastAsia" w:ascii="仿宋" w:hAnsi="仿宋" w:eastAsia="仿宋"/>
          <w:bCs/>
          <w:color w:val="auto"/>
          <w:sz w:val="32"/>
          <w:szCs w:val="32"/>
          <w:highlight w:val="none"/>
        </w:rPr>
        <w:t>教育（类）</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（款）</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4.53</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96.38</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，决算数小于预算数的主要原因是</w:t>
      </w:r>
      <w:r>
        <w:rPr>
          <w:rStyle w:val="14"/>
          <w:rFonts w:hint="eastAsia" w:ascii="仿宋" w:hAnsi="仿宋" w:eastAsia="仿宋"/>
          <w:b w:val="0"/>
          <w:bCs/>
          <w:color w:val="auto"/>
          <w:sz w:val="32"/>
          <w:szCs w:val="32"/>
          <w:highlight w:val="none"/>
          <w:lang w:eastAsia="zh-CN"/>
        </w:rPr>
        <w:t>干部培训实际支出数</w:t>
      </w:r>
      <w:r>
        <w:rPr>
          <w:rStyle w:val="14"/>
          <w:rFonts w:hint="eastAsia" w:ascii="仿宋" w:hAnsi="仿宋" w:eastAsia="仿宋"/>
          <w:b w:val="0"/>
          <w:bCs/>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Style w:val="14"/>
          <w:rFonts w:ascii="仿宋" w:hAnsi="仿宋" w:eastAsia="仿宋"/>
          <w:bCs/>
          <w:color w:val="auto"/>
          <w:sz w:val="32"/>
          <w:szCs w:val="32"/>
          <w:highlight w:val="none"/>
        </w:rPr>
        <w:t>3.</w:t>
      </w:r>
      <w:r>
        <w:rPr>
          <w:rStyle w:val="14"/>
          <w:rFonts w:hint="eastAsia" w:ascii="仿宋" w:hAnsi="仿宋" w:eastAsia="仿宋"/>
          <w:bCs/>
          <w:color w:val="auto"/>
          <w:sz w:val="32"/>
          <w:szCs w:val="32"/>
          <w:highlight w:val="none"/>
        </w:rPr>
        <w:t>科学技术（类）</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（款）</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0</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，决算数小于</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等于预算数的主要原因是…。</w:t>
      </w:r>
    </w:p>
    <w:p>
      <w:pPr>
        <w:spacing w:line="600" w:lineRule="exact"/>
        <w:ind w:firstLine="643" w:firstLineChars="200"/>
        <w:rPr>
          <w:rFonts w:ascii="仿宋" w:hAnsi="仿宋" w:eastAsia="仿宋"/>
          <w:b/>
          <w:color w:val="auto"/>
          <w:sz w:val="32"/>
          <w:szCs w:val="32"/>
          <w:highlight w:val="none"/>
        </w:rPr>
      </w:pPr>
      <w:r>
        <w:rPr>
          <w:rStyle w:val="14"/>
          <w:rFonts w:ascii="仿宋" w:hAnsi="仿宋" w:eastAsia="仿宋"/>
          <w:bCs/>
          <w:color w:val="auto"/>
          <w:sz w:val="32"/>
          <w:szCs w:val="32"/>
          <w:highlight w:val="none"/>
        </w:rPr>
        <w:t>4.</w:t>
      </w:r>
      <w:r>
        <w:rPr>
          <w:rStyle w:val="14"/>
          <w:rFonts w:hint="eastAsia" w:ascii="仿宋" w:hAnsi="仿宋" w:eastAsia="仿宋"/>
          <w:bCs/>
          <w:color w:val="auto"/>
          <w:sz w:val="32"/>
          <w:szCs w:val="32"/>
          <w:highlight w:val="none"/>
        </w:rPr>
        <w:t>文化旅游体育与传媒（类）</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（款）</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Style w:val="14"/>
          <w:rFonts w:hint="eastAsia" w:ascii="仿宋" w:hAnsi="仿宋" w:eastAsia="仿宋"/>
          <w:b w:val="0"/>
          <w:bCs/>
          <w:color w:val="auto"/>
          <w:sz w:val="32"/>
          <w:szCs w:val="32"/>
          <w:highlight w:val="none"/>
          <w:lang w:val="en-US" w:eastAsia="zh-CN"/>
        </w:rPr>
        <w:t>0</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，决算数小于</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等于预算数的主要原因是…。</w:t>
      </w:r>
    </w:p>
    <w:p>
      <w:pPr>
        <w:spacing w:line="600" w:lineRule="exact"/>
        <w:ind w:firstLine="643" w:firstLineChars="200"/>
        <w:rPr>
          <w:rFonts w:ascii="仿宋" w:hAnsi="仿宋" w:eastAsia="仿宋"/>
          <w:b/>
          <w:color w:val="auto"/>
          <w:sz w:val="32"/>
          <w:szCs w:val="32"/>
          <w:highlight w:val="none"/>
        </w:rPr>
      </w:pPr>
      <w:r>
        <w:rPr>
          <w:rStyle w:val="14"/>
          <w:rFonts w:ascii="仿宋" w:hAnsi="仿宋" w:eastAsia="仿宋"/>
          <w:bCs/>
          <w:color w:val="auto"/>
          <w:sz w:val="32"/>
          <w:szCs w:val="32"/>
          <w:highlight w:val="none"/>
        </w:rPr>
        <w:t>5.</w:t>
      </w:r>
      <w:r>
        <w:rPr>
          <w:rStyle w:val="14"/>
          <w:rFonts w:hint="eastAsia" w:ascii="仿宋" w:hAnsi="仿宋" w:eastAsia="仿宋"/>
          <w:bCs/>
          <w:color w:val="auto"/>
          <w:sz w:val="32"/>
          <w:szCs w:val="32"/>
          <w:highlight w:val="none"/>
        </w:rPr>
        <w:t>社会保障和就业（类）</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（款）</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ascii="仿宋" w:hAnsi="仿宋" w:eastAsia="仿宋"/>
          <w:b w:val="0"/>
          <w:bCs/>
          <w:color w:val="auto"/>
          <w:sz w:val="32"/>
          <w:szCs w:val="32"/>
          <w:highlight w:val="none"/>
        </w:rPr>
        <w:t xml:space="preserve"> </w:t>
      </w:r>
      <w:r>
        <w:rPr>
          <w:rStyle w:val="14"/>
          <w:rFonts w:hint="eastAsia" w:ascii="仿宋" w:hAnsi="仿宋" w:eastAsia="仿宋"/>
          <w:b w:val="0"/>
          <w:bCs/>
          <w:color w:val="auto"/>
          <w:sz w:val="32"/>
          <w:szCs w:val="32"/>
          <w:highlight w:val="none"/>
        </w:rPr>
        <w:t>支出决算为</w:t>
      </w:r>
      <w:r>
        <w:rPr>
          <w:rFonts w:hint="eastAsia" w:ascii="仿宋" w:hAnsi="仿宋" w:eastAsia="仿宋"/>
          <w:color w:val="auto"/>
          <w:sz w:val="32"/>
          <w:szCs w:val="32"/>
          <w:highlight w:val="none"/>
          <w:lang w:val="en-US" w:eastAsia="zh-CN"/>
        </w:rPr>
        <w:t>162.21</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，决算数小于</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等于预算数的主要原因是…。</w:t>
      </w:r>
    </w:p>
    <w:p>
      <w:pPr>
        <w:spacing w:line="600" w:lineRule="exact"/>
        <w:ind w:firstLine="643" w:firstLineChars="200"/>
        <w:rPr>
          <w:rFonts w:ascii="仿宋" w:hAnsi="仿宋" w:eastAsia="仿宋"/>
          <w:b/>
          <w:color w:val="auto"/>
          <w:sz w:val="32"/>
          <w:szCs w:val="32"/>
          <w:highlight w:val="none"/>
        </w:rPr>
      </w:pPr>
      <w:r>
        <w:rPr>
          <w:rStyle w:val="14"/>
          <w:rFonts w:ascii="仿宋" w:hAnsi="仿宋" w:eastAsia="仿宋"/>
          <w:bCs/>
          <w:color w:val="auto"/>
          <w:sz w:val="32"/>
          <w:szCs w:val="32"/>
          <w:highlight w:val="none"/>
        </w:rPr>
        <w:t>6.</w:t>
      </w:r>
      <w:r>
        <w:rPr>
          <w:rFonts w:hint="eastAsia" w:ascii="仿宋" w:hAnsi="仿宋" w:eastAsia="仿宋"/>
          <w:b/>
          <w:bCs/>
          <w:color w:val="auto"/>
          <w:sz w:val="32"/>
          <w:szCs w:val="32"/>
          <w:highlight w:val="none"/>
        </w:rPr>
        <w:t>卫生健康</w:t>
      </w:r>
      <w:r>
        <w:rPr>
          <w:rStyle w:val="14"/>
          <w:rFonts w:hint="eastAsia" w:ascii="仿宋" w:hAnsi="仿宋" w:eastAsia="仿宋"/>
          <w:bCs/>
          <w:color w:val="auto"/>
          <w:sz w:val="32"/>
          <w:szCs w:val="32"/>
          <w:highlight w:val="none"/>
        </w:rPr>
        <w:t>（类）</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（款）</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Fonts w:hint="eastAsia" w:ascii="仿宋" w:hAnsi="仿宋" w:eastAsia="仿宋"/>
          <w:color w:val="auto"/>
          <w:sz w:val="32"/>
          <w:szCs w:val="32"/>
          <w:highlight w:val="none"/>
          <w:lang w:val="en-US" w:eastAsia="zh-CN"/>
        </w:rPr>
        <w:t>98.47</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，决算数小于</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等于预算数的主要原因是…。</w:t>
      </w:r>
    </w:p>
    <w:p>
      <w:pPr>
        <w:spacing w:line="600" w:lineRule="exact"/>
        <w:ind w:firstLine="643" w:firstLineChars="200"/>
        <w:rPr>
          <w:rFonts w:ascii="仿宋" w:hAnsi="仿宋" w:eastAsia="仿宋"/>
          <w:b/>
          <w:color w:val="auto"/>
          <w:sz w:val="32"/>
          <w:szCs w:val="32"/>
          <w:highlight w:val="none"/>
        </w:rPr>
      </w:pPr>
      <w:r>
        <w:rPr>
          <w:rStyle w:val="14"/>
          <w:rFonts w:hint="eastAsia" w:ascii="仿宋" w:hAnsi="仿宋" w:eastAsia="仿宋"/>
          <w:bCs/>
          <w:color w:val="auto"/>
          <w:sz w:val="32"/>
          <w:szCs w:val="32"/>
          <w:highlight w:val="none"/>
          <w:lang w:val="en-US" w:eastAsia="zh-CN"/>
        </w:rPr>
        <w:t>7</w:t>
      </w:r>
      <w:r>
        <w:rPr>
          <w:rStyle w:val="14"/>
          <w:rFonts w:ascii="仿宋" w:hAnsi="仿宋" w:eastAsia="仿宋"/>
          <w:bCs/>
          <w:color w:val="auto"/>
          <w:sz w:val="32"/>
          <w:szCs w:val="32"/>
          <w:highlight w:val="none"/>
        </w:rPr>
        <w:t>.</w:t>
      </w:r>
      <w:r>
        <w:rPr>
          <w:rStyle w:val="14"/>
          <w:rFonts w:hint="eastAsia" w:ascii="仿宋" w:hAnsi="仿宋" w:eastAsia="仿宋" w:cstheme="minorBidi"/>
          <w:bCs/>
          <w:color w:val="auto"/>
          <w:sz w:val="32"/>
          <w:szCs w:val="32"/>
          <w:highlight w:val="none"/>
        </w:rPr>
        <w:t>住房保障</w:t>
      </w:r>
      <w:r>
        <w:rPr>
          <w:rStyle w:val="14"/>
          <w:rFonts w:hint="eastAsia" w:ascii="仿宋" w:hAnsi="仿宋" w:eastAsia="仿宋"/>
          <w:bCs/>
          <w:color w:val="auto"/>
          <w:sz w:val="32"/>
          <w:szCs w:val="32"/>
          <w:highlight w:val="none"/>
        </w:rPr>
        <w:t>（类）</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（款）</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Fonts w:hint="eastAsia" w:ascii="仿宋" w:hAnsi="仿宋" w:eastAsia="仿宋"/>
          <w:color w:val="auto"/>
          <w:sz w:val="32"/>
          <w:szCs w:val="32"/>
          <w:highlight w:val="none"/>
          <w:lang w:val="en-US" w:eastAsia="zh-CN"/>
        </w:rPr>
        <w:t>116.4</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，决算数小于</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等于预算数的主要原因是…。</w:t>
      </w:r>
    </w:p>
    <w:p>
      <w:pPr>
        <w:spacing w:line="600" w:lineRule="exact"/>
        <w:ind w:firstLine="643" w:firstLineChars="200"/>
        <w:rPr>
          <w:rFonts w:ascii="仿宋" w:hAnsi="仿宋" w:eastAsia="仿宋"/>
          <w:b/>
          <w:color w:val="auto"/>
          <w:sz w:val="32"/>
          <w:szCs w:val="32"/>
          <w:highlight w:val="none"/>
        </w:rPr>
      </w:pPr>
      <w:r>
        <w:rPr>
          <w:rStyle w:val="14"/>
          <w:rFonts w:hint="eastAsia" w:ascii="仿宋" w:hAnsi="仿宋" w:eastAsia="仿宋" w:cstheme="minorBidi"/>
          <w:bCs/>
          <w:color w:val="auto"/>
          <w:sz w:val="32"/>
          <w:szCs w:val="32"/>
          <w:highlight w:val="none"/>
          <w:lang w:val="en-US" w:eastAsia="zh-CN"/>
        </w:rPr>
        <w:t>7</w:t>
      </w:r>
      <w:r>
        <w:rPr>
          <w:rStyle w:val="14"/>
          <w:rFonts w:hint="eastAsia" w:ascii="仿宋" w:hAnsi="仿宋" w:eastAsia="仿宋" w:cstheme="minorBidi"/>
          <w:bCs/>
          <w:color w:val="auto"/>
          <w:sz w:val="32"/>
          <w:szCs w:val="32"/>
          <w:highlight w:val="none"/>
        </w:rPr>
        <w:t>.粮油物资储备（类</w:t>
      </w:r>
      <w:r>
        <w:rPr>
          <w:rStyle w:val="14"/>
          <w:rFonts w:hint="eastAsia" w:ascii="仿宋" w:hAnsi="仿宋" w:eastAsia="仿宋"/>
          <w:bCs/>
          <w:color w:val="auto"/>
          <w:sz w:val="32"/>
          <w:szCs w:val="32"/>
          <w:highlight w:val="none"/>
        </w:rPr>
        <w:t>）</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（款）</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（项）</w:t>
      </w:r>
      <w:r>
        <w:rPr>
          <w:rStyle w:val="14"/>
          <w:rFonts w:ascii="仿宋" w:hAnsi="仿宋" w:eastAsia="仿宋"/>
          <w:bCs/>
          <w:color w:val="auto"/>
          <w:sz w:val="32"/>
          <w:szCs w:val="32"/>
          <w:highlight w:val="none"/>
        </w:rPr>
        <w:t>:</w:t>
      </w:r>
      <w:r>
        <w:rPr>
          <w:rStyle w:val="14"/>
          <w:rFonts w:hint="eastAsia" w:ascii="仿宋" w:hAnsi="仿宋" w:eastAsia="仿宋"/>
          <w:b w:val="0"/>
          <w:bCs/>
          <w:color w:val="auto"/>
          <w:sz w:val="32"/>
          <w:szCs w:val="32"/>
          <w:highlight w:val="none"/>
        </w:rPr>
        <w:t>支出决算为</w:t>
      </w:r>
      <w:r>
        <w:rPr>
          <w:rFonts w:hint="eastAsia" w:ascii="仿宋" w:hAnsi="仿宋" w:eastAsia="仿宋"/>
          <w:color w:val="auto"/>
          <w:sz w:val="32"/>
          <w:szCs w:val="32"/>
          <w:highlight w:val="none"/>
          <w:lang w:val="en-US" w:eastAsia="zh-CN"/>
        </w:rPr>
        <w:t>783.84</w:t>
      </w:r>
      <w:r>
        <w:rPr>
          <w:rStyle w:val="14"/>
          <w:rFonts w:hint="eastAsia" w:ascii="仿宋" w:hAnsi="仿宋" w:eastAsia="仿宋"/>
          <w:b w:val="0"/>
          <w:bCs/>
          <w:color w:val="auto"/>
          <w:sz w:val="32"/>
          <w:szCs w:val="32"/>
          <w:highlight w:val="none"/>
        </w:rPr>
        <w:t>万元，完成预算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，决算数小于</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等于预算数的主要原因是…。</w:t>
      </w:r>
    </w:p>
    <w:p>
      <w:pPr>
        <w:spacing w:line="600" w:lineRule="exact"/>
        <w:ind w:firstLine="640" w:firstLineChars="200"/>
        <w:rPr>
          <w:rFonts w:hint="eastAsia" w:ascii="仿宋" w:hAnsi="仿宋" w:eastAsia="仿宋"/>
          <w:color w:val="auto"/>
          <w:sz w:val="32"/>
          <w:szCs w:val="32"/>
          <w:highlight w:val="none"/>
        </w:rPr>
      </w:pP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w:t>
      </w:r>
      <w:r>
        <w:rPr>
          <w:rFonts w:hint="eastAsia" w:ascii="仿宋" w:hAnsi="仿宋" w:eastAsia="仿宋"/>
          <w:b/>
          <w:color w:val="auto"/>
          <w:sz w:val="32"/>
          <w:szCs w:val="32"/>
          <w:highlight w:val="none"/>
        </w:rPr>
        <w:t>1-1表</w:t>
      </w:r>
      <w:r>
        <w:rPr>
          <w:rFonts w:hint="eastAsia" w:ascii="仿宋" w:hAnsi="仿宋" w:eastAsia="仿宋"/>
          <w:b/>
          <w:color w:val="auto"/>
          <w:sz w:val="32"/>
          <w:szCs w:val="32"/>
          <w:highlight w:val="none"/>
          <w:lang w:eastAsia="zh-CN"/>
        </w:rPr>
        <w:t>和财决</w:t>
      </w:r>
      <w:r>
        <w:rPr>
          <w:rFonts w:hint="eastAsia" w:ascii="仿宋" w:hAnsi="仿宋" w:eastAsia="仿宋"/>
          <w:b/>
          <w:color w:val="auto"/>
          <w:sz w:val="32"/>
          <w:szCs w:val="32"/>
          <w:highlight w:val="none"/>
          <w:lang w:val="en-US" w:eastAsia="zh-CN"/>
        </w:rPr>
        <w:t>08表</w:t>
      </w:r>
      <w:r>
        <w:rPr>
          <w:rFonts w:hint="eastAsia" w:ascii="仿宋" w:hAnsi="仿宋" w:eastAsia="仿宋"/>
          <w:b/>
          <w:color w:val="auto"/>
          <w:sz w:val="32"/>
          <w:szCs w:val="32"/>
          <w:highlight w:val="none"/>
        </w:rPr>
        <w:t>，</w:t>
      </w:r>
      <w:r>
        <w:rPr>
          <w:rFonts w:hint="eastAsia" w:ascii="仿宋" w:hAnsi="仿宋" w:eastAsia="仿宋"/>
          <w:b/>
          <w:color w:val="auto"/>
          <w:sz w:val="32"/>
          <w:szCs w:val="32"/>
          <w:highlight w:val="none"/>
          <w:lang w:eastAsia="zh-CN"/>
        </w:rPr>
        <w:t>仅</w:t>
      </w:r>
      <w:r>
        <w:rPr>
          <w:rFonts w:hint="eastAsia" w:ascii="仿宋" w:hAnsi="仿宋" w:eastAsia="仿宋"/>
          <w:b/>
          <w:color w:val="auto"/>
          <w:sz w:val="32"/>
          <w:szCs w:val="32"/>
          <w:highlight w:val="none"/>
        </w:rPr>
        <w:t>罗列</w:t>
      </w:r>
      <w:r>
        <w:rPr>
          <w:rFonts w:hint="eastAsia" w:ascii="仿宋" w:hAnsi="仿宋" w:eastAsia="仿宋"/>
          <w:b/>
          <w:color w:val="auto"/>
          <w:sz w:val="32"/>
          <w:szCs w:val="32"/>
          <w:highlight w:val="none"/>
          <w:lang w:eastAsia="zh-CN"/>
        </w:rPr>
        <w:t>本部门涉及的</w:t>
      </w:r>
      <w:r>
        <w:rPr>
          <w:rFonts w:hint="eastAsia" w:ascii="仿宋" w:hAnsi="仿宋" w:eastAsia="仿宋"/>
          <w:b/>
          <w:color w:val="auto"/>
          <w:sz w:val="32"/>
          <w:szCs w:val="32"/>
          <w:highlight w:val="none"/>
        </w:rPr>
        <w:t>全部功能分类科目</w:t>
      </w:r>
      <w:r>
        <w:rPr>
          <w:rFonts w:hint="eastAsia" w:ascii="仿宋" w:hAnsi="仿宋" w:eastAsia="仿宋"/>
          <w:b/>
          <w:color w:val="auto"/>
          <w:sz w:val="32"/>
          <w:szCs w:val="32"/>
          <w:highlight w:val="none"/>
          <w:lang w:eastAsia="zh-CN"/>
        </w:rPr>
        <w:t>，</w:t>
      </w:r>
      <w:r>
        <w:rPr>
          <w:rFonts w:hint="eastAsia" w:ascii="仿宋" w:hAnsi="仿宋" w:eastAsia="仿宋"/>
          <w:b/>
          <w:color w:val="auto"/>
          <w:sz w:val="32"/>
          <w:szCs w:val="32"/>
          <w:highlight w:val="none"/>
        </w:rPr>
        <w:t>至项级。上述“预算”口径为调整预算数。增减变动原因为决算数</w:t>
      </w:r>
      <w:r>
        <w:rPr>
          <w:rFonts w:ascii="仿宋" w:hAnsi="仿宋" w:eastAsia="仿宋"/>
          <w:b/>
          <w:color w:val="auto"/>
          <w:sz w:val="32"/>
          <w:szCs w:val="32"/>
          <w:highlight w:val="none"/>
        </w:rPr>
        <w:t>&lt;</w:t>
      </w:r>
      <w:r>
        <w:rPr>
          <w:rFonts w:hint="eastAsia" w:ascii="仿宋" w:hAnsi="仿宋" w:eastAsia="仿宋"/>
          <w:b/>
          <w:color w:val="auto"/>
          <w:sz w:val="32"/>
          <w:szCs w:val="32"/>
          <w:highlight w:val="none"/>
        </w:rPr>
        <w:t>项级</w:t>
      </w:r>
      <w:r>
        <w:rPr>
          <w:rFonts w:ascii="仿宋" w:hAnsi="仿宋" w:eastAsia="仿宋"/>
          <w:b/>
          <w:color w:val="auto"/>
          <w:sz w:val="32"/>
          <w:szCs w:val="32"/>
          <w:highlight w:val="none"/>
        </w:rPr>
        <w:t>&gt;</w:t>
      </w:r>
      <w:r>
        <w:rPr>
          <w:rFonts w:hint="eastAsia" w:ascii="仿宋" w:hAnsi="仿宋" w:eastAsia="仿宋"/>
          <w:b/>
          <w:color w:val="auto"/>
          <w:sz w:val="32"/>
          <w:szCs w:val="32"/>
          <w:highlight w:val="none"/>
        </w:rPr>
        <w:t>和调整预算数</w:t>
      </w:r>
      <w:r>
        <w:rPr>
          <w:rFonts w:ascii="仿宋" w:hAnsi="仿宋" w:eastAsia="仿宋"/>
          <w:b/>
          <w:color w:val="auto"/>
          <w:sz w:val="32"/>
          <w:szCs w:val="32"/>
          <w:highlight w:val="none"/>
        </w:rPr>
        <w:t>&lt;</w:t>
      </w:r>
      <w:r>
        <w:rPr>
          <w:rFonts w:hint="eastAsia" w:ascii="仿宋" w:hAnsi="仿宋" w:eastAsia="仿宋"/>
          <w:b/>
          <w:color w:val="auto"/>
          <w:sz w:val="32"/>
          <w:szCs w:val="32"/>
          <w:highlight w:val="none"/>
        </w:rPr>
        <w:t>项级</w:t>
      </w:r>
      <w:r>
        <w:rPr>
          <w:rFonts w:ascii="仿宋" w:hAnsi="仿宋" w:eastAsia="仿宋"/>
          <w:b/>
          <w:color w:val="auto"/>
          <w:sz w:val="32"/>
          <w:szCs w:val="32"/>
          <w:highlight w:val="none"/>
        </w:rPr>
        <w:t>&gt;</w:t>
      </w:r>
      <w:r>
        <w:rPr>
          <w:rFonts w:hint="eastAsia" w:ascii="仿宋" w:hAnsi="仿宋" w:eastAsia="仿宋"/>
          <w:b/>
          <w:color w:val="auto"/>
          <w:sz w:val="32"/>
          <w:szCs w:val="32"/>
          <w:highlight w:val="none"/>
        </w:rPr>
        <w:t>比较，与预算数持平可以不写原因。）</w:t>
      </w:r>
    </w:p>
    <w:p>
      <w:pPr>
        <w:spacing w:line="600" w:lineRule="exact"/>
        <w:ind w:firstLine="640"/>
        <w:rPr>
          <w:rFonts w:ascii="仿宋" w:hAnsi="仿宋" w:eastAsia="仿宋"/>
          <w:b/>
          <w:color w:val="auto"/>
          <w:sz w:val="32"/>
          <w:szCs w:val="32"/>
          <w:highlight w:val="none"/>
        </w:rPr>
      </w:pPr>
    </w:p>
    <w:p>
      <w:pPr>
        <w:tabs>
          <w:tab w:val="right" w:pos="8306"/>
        </w:tabs>
        <w:spacing w:line="600" w:lineRule="exact"/>
        <w:ind w:firstLine="640"/>
        <w:outlineLvl w:val="1"/>
        <w:rPr>
          <w:rStyle w:val="25"/>
          <w:color w:val="auto"/>
          <w:highlight w:val="none"/>
        </w:rPr>
      </w:pPr>
      <w:bookmarkStart w:id="44" w:name="_Toc15396608"/>
      <w:bookmarkStart w:id="45"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般公共预算财政拨款基本支出决算情况说明</w:t>
      </w:r>
      <w:bookmarkEnd w:id="44"/>
      <w:bookmarkEnd w:id="45"/>
      <w:r>
        <w:rPr>
          <w:rStyle w:val="25"/>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1957.41</w:t>
      </w:r>
      <w:r>
        <w:rPr>
          <w:rFonts w:hint="eastAsia" w:ascii="仿宋" w:hAnsi="仿宋" w:eastAsia="仿宋"/>
          <w:color w:val="auto"/>
          <w:sz w:val="32"/>
          <w:szCs w:val="32"/>
          <w:highlight w:val="none"/>
        </w:rPr>
        <w:t>万元，其中：</w:t>
      </w:r>
    </w:p>
    <w:p>
      <w:pPr>
        <w:spacing w:line="600" w:lineRule="exact"/>
        <w:ind w:firstLine="645"/>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2053.89</w:t>
      </w:r>
      <w:r>
        <w:rPr>
          <w:rFonts w:hint="eastAsia" w:ascii="仿宋" w:hAnsi="仿宋" w:eastAsia="仿宋"/>
          <w:color w:val="auto"/>
          <w:sz w:val="32"/>
          <w:szCs w:val="32"/>
          <w:highlight w:val="none"/>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5"/>
        <w:rPr>
          <w:rFonts w:ascii="仿宋" w:hAnsi="仿宋" w:eastAsia="仿宋"/>
          <w:color w:val="auto"/>
          <w:sz w:val="32"/>
          <w:szCs w:val="32"/>
          <w:highlight w:val="none"/>
        </w:rPr>
      </w:pPr>
      <w:r>
        <w:rPr>
          <w:rFonts w:hint="eastAsia" w:ascii="仿宋" w:hAnsi="仿宋" w:eastAsia="仿宋"/>
          <w:color w:val="auto"/>
          <w:sz w:val="32"/>
          <w:szCs w:val="32"/>
          <w:highlight w:val="none"/>
        </w:rPr>
        <w:t>公用经费</w:t>
      </w:r>
      <w:r>
        <w:rPr>
          <w:rFonts w:hint="eastAsia" w:ascii="仿宋" w:hAnsi="仿宋" w:eastAsia="仿宋"/>
          <w:color w:val="auto"/>
          <w:sz w:val="32"/>
          <w:szCs w:val="32"/>
          <w:highlight w:val="none"/>
          <w:lang w:val="en-US" w:eastAsia="zh-CN"/>
        </w:rPr>
        <w:t>367.46</w:t>
      </w:r>
      <w:r>
        <w:rPr>
          <w:rFonts w:hint="eastAsia" w:ascii="仿宋" w:hAnsi="仿宋" w:eastAsia="仿宋"/>
          <w:color w:val="auto"/>
          <w:sz w:val="32"/>
          <w:szCs w:val="32"/>
          <w:highlight w:val="none"/>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5"/>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w:t>
      </w:r>
      <w:r>
        <w:rPr>
          <w:rFonts w:ascii="仿宋" w:hAnsi="仿宋" w:eastAsia="仿宋"/>
          <w:b/>
          <w:color w:val="auto"/>
          <w:sz w:val="32"/>
          <w:szCs w:val="32"/>
          <w:highlight w:val="none"/>
        </w:rPr>
        <w:t>0</w:t>
      </w:r>
      <w:r>
        <w:rPr>
          <w:rFonts w:hint="eastAsia" w:ascii="仿宋" w:hAnsi="仿宋" w:eastAsia="仿宋"/>
          <w:b/>
          <w:color w:val="auto"/>
          <w:sz w:val="32"/>
          <w:szCs w:val="32"/>
          <w:highlight w:val="none"/>
        </w:rPr>
        <w:t>7表</w:t>
      </w:r>
      <w:r>
        <w:rPr>
          <w:rFonts w:hint="eastAsia" w:ascii="仿宋" w:hAnsi="仿宋" w:eastAsia="仿宋"/>
          <w:b/>
          <w:color w:val="auto"/>
          <w:sz w:val="32"/>
          <w:szCs w:val="32"/>
          <w:highlight w:val="none"/>
          <w:lang w:eastAsia="zh-CN"/>
        </w:rPr>
        <w:t>和财决</w:t>
      </w:r>
      <w:r>
        <w:rPr>
          <w:rFonts w:hint="eastAsia" w:ascii="仿宋" w:hAnsi="仿宋" w:eastAsia="仿宋"/>
          <w:b/>
          <w:color w:val="auto"/>
          <w:sz w:val="32"/>
          <w:szCs w:val="32"/>
          <w:highlight w:val="none"/>
          <w:lang w:val="en-US" w:eastAsia="zh-CN"/>
        </w:rPr>
        <w:t>08-1表</w:t>
      </w:r>
      <w:r>
        <w:rPr>
          <w:rFonts w:hint="eastAsia" w:ascii="仿宋" w:hAnsi="仿宋" w:eastAsia="仿宋"/>
          <w:b/>
          <w:color w:val="auto"/>
          <w:sz w:val="32"/>
          <w:szCs w:val="32"/>
          <w:highlight w:val="none"/>
        </w:rPr>
        <w:t>，</w:t>
      </w:r>
      <w:r>
        <w:rPr>
          <w:rFonts w:hint="eastAsia" w:ascii="仿宋" w:hAnsi="仿宋" w:eastAsia="仿宋"/>
          <w:b/>
          <w:color w:val="auto"/>
          <w:sz w:val="32"/>
          <w:szCs w:val="32"/>
          <w:highlight w:val="none"/>
          <w:lang w:eastAsia="zh-CN"/>
        </w:rPr>
        <w:t>仅罗列</w:t>
      </w:r>
      <w:r>
        <w:rPr>
          <w:rFonts w:hint="eastAsia" w:ascii="仿宋" w:hAnsi="仿宋" w:eastAsia="仿宋"/>
          <w:b/>
          <w:color w:val="auto"/>
          <w:sz w:val="32"/>
          <w:szCs w:val="32"/>
          <w:highlight w:val="none"/>
        </w:rPr>
        <w:t>本部门实际支出</w:t>
      </w:r>
      <w:r>
        <w:rPr>
          <w:rFonts w:hint="eastAsia" w:ascii="仿宋" w:hAnsi="仿宋" w:eastAsia="仿宋"/>
          <w:b/>
          <w:color w:val="auto"/>
          <w:sz w:val="32"/>
          <w:szCs w:val="32"/>
          <w:highlight w:val="none"/>
          <w:lang w:eastAsia="zh-CN"/>
        </w:rPr>
        <w:t>涉及的</w:t>
      </w:r>
      <w:r>
        <w:rPr>
          <w:rFonts w:hint="eastAsia" w:ascii="仿宋" w:hAnsi="仿宋" w:eastAsia="仿宋"/>
          <w:b/>
          <w:color w:val="auto"/>
          <w:sz w:val="32"/>
          <w:szCs w:val="32"/>
          <w:highlight w:val="none"/>
        </w:rPr>
        <w:t>经济分类科目。）</w:t>
      </w:r>
    </w:p>
    <w:p>
      <w:pPr>
        <w:spacing w:line="600" w:lineRule="exact"/>
        <w:ind w:firstLine="640"/>
        <w:rPr>
          <w:rFonts w:ascii="仿宋" w:hAnsi="仿宋" w:eastAsia="仿宋"/>
          <w:b/>
          <w:color w:val="auto"/>
          <w:sz w:val="32"/>
          <w:szCs w:val="32"/>
          <w:highlight w:val="none"/>
        </w:rPr>
      </w:pPr>
    </w:p>
    <w:p>
      <w:pPr>
        <w:spacing w:line="600" w:lineRule="exact"/>
        <w:ind w:firstLine="640"/>
        <w:outlineLvl w:val="1"/>
        <w:rPr>
          <w:rStyle w:val="25"/>
          <w:rFonts w:ascii="黑体" w:hAnsi="黑体" w:eastAsia="黑体"/>
          <w:b w:val="0"/>
          <w:color w:val="auto"/>
          <w:highlight w:val="none"/>
        </w:rPr>
      </w:pPr>
      <w:bookmarkStart w:id="46" w:name="_Toc15377215"/>
      <w:bookmarkStart w:id="47" w:name="_Toc15396609"/>
      <w:r>
        <w:rPr>
          <w:rFonts w:hint="eastAsia" w:ascii="黑体" w:eastAsia="黑体"/>
          <w:color w:val="auto"/>
          <w:sz w:val="32"/>
          <w:szCs w:val="32"/>
          <w:highlight w:val="none"/>
        </w:rPr>
        <w:t>七、</w:t>
      </w:r>
      <w:r>
        <w:rPr>
          <w:rStyle w:val="25"/>
          <w:rFonts w:hint="eastAsia" w:ascii="黑体" w:hAnsi="黑体" w:eastAsia="黑体"/>
          <w:color w:val="auto"/>
          <w:highlight w:val="none"/>
        </w:rPr>
        <w:t>“</w:t>
      </w:r>
      <w:r>
        <w:rPr>
          <w:rStyle w:val="25"/>
          <w:rFonts w:hint="eastAsia" w:ascii="黑体" w:hAnsi="黑体" w:eastAsia="黑体"/>
          <w:b w:val="0"/>
          <w:color w:val="auto"/>
          <w:highlight w:val="none"/>
        </w:rPr>
        <w:t>三公”经费财政拨款支出决算情况说明</w:t>
      </w:r>
      <w:bookmarkEnd w:id="46"/>
      <w:bookmarkEnd w:id="47"/>
    </w:p>
    <w:p>
      <w:pPr>
        <w:spacing w:line="600" w:lineRule="exact"/>
        <w:ind w:firstLine="640"/>
        <w:outlineLvl w:val="2"/>
        <w:rPr>
          <w:rFonts w:ascii="仿宋" w:hAnsi="仿宋" w:eastAsia="仿宋"/>
          <w:b/>
          <w:color w:val="auto"/>
          <w:sz w:val="32"/>
          <w:szCs w:val="32"/>
          <w:highlight w:val="none"/>
        </w:rPr>
      </w:pPr>
      <w:bookmarkStart w:id="48" w:name="_Toc15377216"/>
      <w:r>
        <w:rPr>
          <w:rFonts w:hint="eastAsia" w:ascii="仿宋" w:hAnsi="仿宋" w:eastAsia="仿宋"/>
          <w:b/>
          <w:color w:val="auto"/>
          <w:sz w:val="32"/>
          <w:szCs w:val="32"/>
          <w:highlight w:val="none"/>
        </w:rPr>
        <w:t>（一）“三公”经费财政拨款支出决算总体情况说明</w:t>
      </w:r>
      <w:bookmarkEnd w:id="48"/>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24.6</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，决算数</w:t>
      </w:r>
      <w:r>
        <w:rPr>
          <w:rFonts w:hint="eastAsia" w:ascii="仿宋" w:hAnsi="仿宋" w:eastAsia="仿宋"/>
          <w:color w:val="auto"/>
          <w:sz w:val="32"/>
          <w:szCs w:val="32"/>
          <w:highlight w:val="none"/>
          <w:lang w:eastAsia="zh-CN"/>
        </w:rPr>
        <w:t>大</w:t>
      </w:r>
      <w:r>
        <w:rPr>
          <w:rFonts w:hint="eastAsia" w:ascii="仿宋" w:hAnsi="仿宋" w:eastAsia="仿宋"/>
          <w:color w:val="auto"/>
          <w:sz w:val="32"/>
          <w:szCs w:val="32"/>
          <w:highlight w:val="none"/>
        </w:rPr>
        <w:t>于预算数的主要原因是</w:t>
      </w:r>
      <w:r>
        <w:rPr>
          <w:rFonts w:hint="eastAsia" w:ascii="仿宋_GB2312" w:eastAsia="仿宋_GB2312"/>
          <w:color w:val="auto"/>
          <w:sz w:val="32"/>
          <w:szCs w:val="32"/>
          <w:highlight w:val="none"/>
          <w:lang w:eastAsia="zh-CN"/>
        </w:rPr>
        <w:t>市粮食物资储备局账务合并后支出增加</w:t>
      </w:r>
      <w:r>
        <w:rPr>
          <w:rFonts w:hint="eastAsia" w:ascii="仿宋" w:hAnsi="仿宋" w:eastAsia="仿宋"/>
          <w:color w:val="auto"/>
          <w:sz w:val="32"/>
          <w:szCs w:val="32"/>
          <w:highlight w:val="none"/>
        </w:rPr>
        <w:t>。</w:t>
      </w:r>
    </w:p>
    <w:p>
      <w:pPr>
        <w:spacing w:line="600" w:lineRule="exact"/>
        <w:ind w:firstLine="640"/>
        <w:rPr>
          <w:rFonts w:ascii="仿宋" w:hAnsi="仿宋" w:eastAsia="仿宋"/>
          <w:b/>
          <w:color w:val="auto"/>
          <w:sz w:val="32"/>
          <w:szCs w:val="32"/>
          <w:highlight w:val="none"/>
        </w:rPr>
      </w:pPr>
      <w:r>
        <w:rPr>
          <w:rFonts w:hint="eastAsia" w:ascii="仿宋" w:hAnsi="仿宋" w:eastAsia="仿宋"/>
          <w:b/>
          <w:color w:val="auto"/>
          <w:sz w:val="32"/>
          <w:szCs w:val="32"/>
          <w:highlight w:val="none"/>
        </w:rPr>
        <w:t>（注：上述“预算”口径为调整预算数。）</w:t>
      </w:r>
    </w:p>
    <w:p>
      <w:pPr>
        <w:spacing w:line="600" w:lineRule="exact"/>
        <w:ind w:firstLine="640"/>
        <w:outlineLvl w:val="2"/>
        <w:rPr>
          <w:rFonts w:ascii="仿宋" w:hAnsi="仿宋" w:eastAsia="仿宋"/>
          <w:b/>
          <w:color w:val="auto"/>
          <w:sz w:val="32"/>
          <w:szCs w:val="32"/>
          <w:highlight w:val="none"/>
        </w:rPr>
      </w:pPr>
      <w:bookmarkStart w:id="49" w:name="_Toc15377217"/>
      <w:r>
        <w:rPr>
          <w:rFonts w:hint="eastAsia" w:ascii="仿宋" w:hAnsi="仿宋" w:eastAsia="仿宋"/>
          <w:b/>
          <w:color w:val="auto"/>
          <w:sz w:val="32"/>
          <w:szCs w:val="32"/>
          <w:highlight w:val="none"/>
        </w:rPr>
        <w:t>（二）“三公”经费财政拨款支出决算具体情况说明</w:t>
      </w:r>
      <w:bookmarkEnd w:id="49"/>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15.49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62.97</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9.11</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37.03</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spacing w:line="600" w:lineRule="exact"/>
        <w:ind w:firstLine="640"/>
        <w:rPr>
          <w:rFonts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（图7：“三公”经费财政拨款支出结构）（饼状图）</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全年安排因公出国（境）团组</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次，出国（境）</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人。因公出国（境）支出决算比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ascii="仿宋_GB2312" w:eastAsia="仿宋_GB2312"/>
          <w:color w:val="auto"/>
          <w:sz w:val="32"/>
          <w:szCs w:val="32"/>
          <w:highlight w:val="none"/>
        </w:rPr>
        <w:t>/</w:t>
      </w:r>
      <w:r>
        <w:rPr>
          <w:rFonts w:hint="eastAsia" w:ascii="仿宋_GB2312" w:eastAsia="仿宋_GB2312"/>
          <w:color w:val="auto"/>
          <w:sz w:val="32"/>
          <w:szCs w:val="32"/>
          <w:highlight w:val="none"/>
        </w:rPr>
        <w:t>减少</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万元，增长</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下降</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p>
    <w:p>
      <w:pPr>
        <w:spacing w:line="600" w:lineRule="exact"/>
        <w:ind w:firstLine="640"/>
        <w:rPr>
          <w:rFonts w:ascii="仿宋_GB2312" w:eastAsia="仿宋_GB2312"/>
          <w:color w:val="auto"/>
          <w:sz w:val="32"/>
          <w:szCs w:val="32"/>
          <w:highlight w:val="none"/>
        </w:rPr>
      </w:pPr>
      <w:r>
        <w:rPr>
          <w:rFonts w:hint="eastAsia" w:ascii="仿宋_GB2312" w:eastAsia="仿宋_GB2312"/>
          <w:color w:val="auto"/>
          <w:sz w:val="32"/>
          <w:szCs w:val="32"/>
          <w:highlight w:val="none"/>
        </w:rPr>
        <w:t>开支内容包括：…（团组名称、出访地点、取得成效）等。</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 w:hAnsi="仿宋" w:eastAsia="仿宋"/>
          <w:color w:val="auto"/>
          <w:sz w:val="32"/>
          <w:szCs w:val="32"/>
          <w:highlight w:val="none"/>
          <w:lang w:val="en-US" w:eastAsia="zh-CN"/>
        </w:rPr>
        <w:t>15.49</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3.89</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33.56</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市粮食物资储备局账务合并后增加一辆车</w:t>
      </w:r>
      <w:r>
        <w:rPr>
          <w:rFonts w:hint="eastAsia" w:ascii="仿宋_GB2312" w:eastAsia="仿宋_GB2312"/>
          <w:color w:val="auto"/>
          <w:sz w:val="32"/>
          <w:szCs w:val="32"/>
          <w:highlight w:val="none"/>
        </w:rPr>
        <w:t>。</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万元，主要用于…。截至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辆、越野车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p>
    <w:p>
      <w:pPr>
        <w:spacing w:line="600" w:lineRule="exact"/>
        <w:ind w:firstLine="640"/>
        <w:rPr>
          <w:rFonts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15.49</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eastAsia="zh-CN"/>
        </w:rPr>
        <w:t>日常工作用车</w:t>
      </w:r>
      <w:r>
        <w:rPr>
          <w:rFonts w:hint="eastAsia" w:ascii="仿宋_GB2312" w:eastAsia="仿宋_GB2312"/>
          <w:color w:val="auto"/>
          <w:sz w:val="32"/>
          <w:szCs w:val="32"/>
          <w:highlight w:val="none"/>
        </w:rPr>
        <w:t>（具体工作）等所需的公务用车燃料费、维修费、过路过桥费、保险费等支出。</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9.11</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87.6</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1.29</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12.4</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接待人次减少</w:t>
      </w:r>
      <w:r>
        <w:rPr>
          <w:rFonts w:hint="eastAsia" w:ascii="仿宋_GB2312" w:eastAsia="仿宋_GB2312"/>
          <w:color w:val="auto"/>
          <w:sz w:val="32"/>
          <w:szCs w:val="32"/>
          <w:highlight w:val="none"/>
        </w:rPr>
        <w:t>。其中：</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9.11</w:t>
      </w:r>
      <w:r>
        <w:rPr>
          <w:rFonts w:hint="eastAsia" w:ascii="仿宋_GB2312" w:eastAsia="仿宋_GB2312"/>
          <w:color w:val="auto"/>
          <w:sz w:val="32"/>
          <w:szCs w:val="32"/>
          <w:highlight w:val="none"/>
        </w:rPr>
        <w:t>万元，主要用于执行公务、开展业务活动开支的交通费、住宿费、用餐费等。国内公务接待</w:t>
      </w:r>
      <w:r>
        <w:rPr>
          <w:rFonts w:hint="eastAsia" w:ascii="仿宋_GB2312" w:eastAsia="仿宋_GB2312"/>
          <w:color w:val="auto"/>
          <w:sz w:val="32"/>
          <w:szCs w:val="32"/>
          <w:highlight w:val="none"/>
          <w:lang w:val="en-US" w:eastAsia="zh-CN"/>
        </w:rPr>
        <w:t>24</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786</w:t>
      </w:r>
      <w:r>
        <w:rPr>
          <w:rFonts w:hint="eastAsia" w:ascii="仿宋_GB2312" w:eastAsia="仿宋_GB2312"/>
          <w:color w:val="auto"/>
          <w:sz w:val="32"/>
          <w:szCs w:val="32"/>
          <w:highlight w:val="none"/>
        </w:rPr>
        <w:t>人次，共计支出</w:t>
      </w:r>
      <w:r>
        <w:rPr>
          <w:rFonts w:hint="eastAsia" w:ascii="仿宋_GB2312" w:eastAsia="仿宋_GB2312"/>
          <w:color w:val="auto"/>
          <w:sz w:val="32"/>
          <w:szCs w:val="32"/>
          <w:highlight w:val="none"/>
          <w:lang w:val="en-US" w:eastAsia="zh-CN"/>
        </w:rPr>
        <w:t>9.11</w:t>
      </w:r>
      <w:r>
        <w:rPr>
          <w:rFonts w:hint="eastAsia" w:ascii="仿宋_GB2312" w:eastAsia="仿宋_GB2312"/>
          <w:color w:val="auto"/>
          <w:sz w:val="32"/>
          <w:szCs w:val="32"/>
          <w:highlight w:val="none"/>
        </w:rPr>
        <w:t>万元，具体内容包括：…（接待具体项目、金额）。</w:t>
      </w:r>
    </w:p>
    <w:p>
      <w:pPr>
        <w:spacing w:line="600" w:lineRule="exact"/>
        <w:ind w:firstLine="643" w:firstLineChars="200"/>
        <w:rPr>
          <w:rFonts w:ascii="仿宋_GB2312" w:eastAsia="仿宋_GB2312"/>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万元，外事接待</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人，共计支出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万元，主要用于接待</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（具体项目）。主要用于……</w:t>
      </w:r>
    </w:p>
    <w:p>
      <w:pPr>
        <w:spacing w:line="600" w:lineRule="exact"/>
        <w:ind w:firstLine="640"/>
        <w:outlineLvl w:val="1"/>
        <w:rPr>
          <w:rFonts w:ascii="黑体" w:eastAsia="黑体"/>
          <w:color w:val="auto"/>
          <w:sz w:val="32"/>
          <w:szCs w:val="32"/>
          <w:highlight w:val="none"/>
        </w:rPr>
      </w:pPr>
      <w:bookmarkStart w:id="50" w:name="_Toc15377218"/>
      <w:bookmarkStart w:id="51" w:name="_Toc15396610"/>
    </w:p>
    <w:p>
      <w:pPr>
        <w:spacing w:line="600" w:lineRule="exact"/>
        <w:ind w:firstLine="640"/>
        <w:outlineLvl w:val="1"/>
        <w:rPr>
          <w:rStyle w:val="25"/>
          <w:rFonts w:ascii="黑体" w:hAnsi="黑体" w:eastAsia="黑体"/>
          <w:color w:val="auto"/>
          <w:highlight w:val="none"/>
        </w:rPr>
      </w:pPr>
      <w:r>
        <w:rPr>
          <w:rFonts w:hint="eastAsia" w:ascii="黑体" w:eastAsia="黑体"/>
          <w:color w:val="auto"/>
          <w:sz w:val="32"/>
          <w:szCs w:val="32"/>
          <w:highlight w:val="none"/>
        </w:rPr>
        <w:t>八、</w:t>
      </w:r>
      <w:r>
        <w:rPr>
          <w:rStyle w:val="25"/>
          <w:rFonts w:hint="eastAsia" w:ascii="黑体" w:hAnsi="黑体" w:eastAsia="黑体"/>
          <w:b w:val="0"/>
          <w:color w:val="auto"/>
          <w:highlight w:val="none"/>
        </w:rPr>
        <w:t>政府性基金预算支出决算情况说明</w:t>
      </w:r>
      <w:bookmarkEnd w:id="50"/>
      <w:bookmarkEnd w:id="51"/>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1744</w:t>
      </w:r>
      <w:r>
        <w:rPr>
          <w:rFonts w:hint="eastAsia" w:ascii="仿宋_GB2312" w:eastAsia="仿宋_GB2312"/>
          <w:color w:val="auto"/>
          <w:sz w:val="32"/>
          <w:szCs w:val="32"/>
          <w:highlight w:val="none"/>
        </w:rPr>
        <w:t>万元。</w:t>
      </w:r>
    </w:p>
    <w:p>
      <w:pPr>
        <w:spacing w:line="600" w:lineRule="exact"/>
        <w:ind w:firstLine="640"/>
        <w:rPr>
          <w:rFonts w:ascii="仿宋_GB2312" w:eastAsia="仿宋_GB2312"/>
          <w:color w:val="auto"/>
          <w:sz w:val="32"/>
          <w:szCs w:val="32"/>
          <w:highlight w:val="none"/>
        </w:rPr>
      </w:pPr>
    </w:p>
    <w:p>
      <w:pPr>
        <w:numPr>
          <w:ilvl w:val="0"/>
          <w:numId w:val="2"/>
        </w:numPr>
        <w:spacing w:line="600" w:lineRule="exact"/>
        <w:ind w:firstLine="640"/>
        <w:outlineLvl w:val="1"/>
        <w:rPr>
          <w:rStyle w:val="25"/>
          <w:rFonts w:ascii="黑体" w:hAnsi="黑体" w:eastAsia="黑体"/>
          <w:b w:val="0"/>
          <w:color w:val="auto"/>
          <w:highlight w:val="none"/>
        </w:rPr>
      </w:pPr>
      <w:bookmarkStart w:id="52" w:name="_Toc15377219"/>
      <w:bookmarkStart w:id="53" w:name="_Toc15396611"/>
      <w:r>
        <w:rPr>
          <w:rStyle w:val="25"/>
          <w:rFonts w:hint="eastAsia" w:ascii="黑体" w:hAnsi="黑体" w:eastAsia="黑体"/>
          <w:b w:val="0"/>
          <w:color w:val="auto"/>
          <w:highlight w:val="none"/>
        </w:rPr>
        <w:t>国有资本经营预算支出决算情况说明</w:t>
      </w:r>
      <w:bookmarkEnd w:id="52"/>
      <w:bookmarkEnd w:id="53"/>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580" w:lineRule="exact"/>
        <w:jc w:val="center"/>
        <w:rPr>
          <w:rFonts w:ascii="方正小标宋简体" w:hAnsi="方正小标宋简体" w:eastAsia="方正小标宋简体" w:cs="方正小标宋简体"/>
          <w:color w:val="auto"/>
          <w:sz w:val="44"/>
          <w:szCs w:val="44"/>
          <w:highlight w:val="none"/>
        </w:rPr>
      </w:pPr>
    </w:p>
    <w:p>
      <w:pPr>
        <w:numPr>
          <w:ilvl w:val="0"/>
          <w:numId w:val="2"/>
        </w:numPr>
        <w:spacing w:line="600" w:lineRule="exact"/>
        <w:ind w:firstLine="640"/>
        <w:outlineLvl w:val="1"/>
        <w:rPr>
          <w:rStyle w:val="25"/>
          <w:rFonts w:hint="eastAsia" w:ascii="黑体" w:hAnsi="黑体" w:eastAsia="黑体"/>
          <w:b w:val="0"/>
          <w:color w:val="auto"/>
          <w:highlight w:val="none"/>
        </w:rPr>
      </w:pPr>
      <w:bookmarkStart w:id="54" w:name="_Toc15396612"/>
      <w:bookmarkStart w:id="55" w:name="_Toc15377221"/>
      <w:r>
        <w:rPr>
          <w:rStyle w:val="25"/>
          <w:rFonts w:hint="eastAsia" w:ascii="黑体" w:hAnsi="黑体" w:eastAsia="黑体"/>
          <w:b w:val="0"/>
          <w:color w:val="auto"/>
          <w:highlight w:val="none"/>
        </w:rPr>
        <w:t>其他重要事项的情况说明</w:t>
      </w:r>
      <w:bookmarkEnd w:id="54"/>
      <w:bookmarkEnd w:id="55"/>
    </w:p>
    <w:p>
      <w:pPr>
        <w:spacing w:line="600" w:lineRule="exact"/>
        <w:ind w:firstLine="643" w:firstLineChars="200"/>
        <w:outlineLvl w:val="2"/>
        <w:rPr>
          <w:rFonts w:ascii="仿宋" w:hAnsi="仿宋" w:eastAsia="仿宋"/>
          <w:color w:val="auto"/>
          <w:sz w:val="32"/>
          <w:szCs w:val="32"/>
          <w:highlight w:val="none"/>
        </w:rPr>
      </w:pPr>
      <w:bookmarkStart w:id="56" w:name="_Toc15377222"/>
      <w:r>
        <w:rPr>
          <w:rFonts w:hint="eastAsia" w:ascii="仿宋" w:hAnsi="仿宋" w:eastAsia="仿宋"/>
          <w:b/>
          <w:color w:val="auto"/>
          <w:sz w:val="32"/>
          <w:szCs w:val="32"/>
          <w:highlight w:val="none"/>
        </w:rPr>
        <w:t>（一）机关运行经费支出情况</w:t>
      </w:r>
      <w:bookmarkEnd w:id="56"/>
    </w:p>
    <w:p>
      <w:pPr>
        <w:spacing w:line="600" w:lineRule="exact"/>
        <w:ind w:firstLine="640" w:firstLineChars="200"/>
        <w:rPr>
          <w:rFonts w:hint="default" w:ascii="仿宋_GB2312" w:eastAsia="仿宋_GB2312"/>
          <w:color w:val="auto"/>
          <w:sz w:val="32"/>
          <w:szCs w:val="32"/>
          <w:highlight w:val="none"/>
          <w:lang w:val="en-US"/>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巴中市发展和改革委员会</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871.79</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ascii="仿宋_GB2312" w:eastAsia="仿宋_GB2312"/>
          <w:color w:val="auto"/>
          <w:sz w:val="32"/>
          <w:szCs w:val="32"/>
          <w:highlight w:val="none"/>
        </w:rPr>
        <w:t>/</w:t>
      </w:r>
      <w:r>
        <w:rPr>
          <w:rFonts w:hint="eastAsia" w:ascii="仿宋_GB2312" w:eastAsia="仿宋_GB2312"/>
          <w:color w:val="auto"/>
          <w:sz w:val="32"/>
          <w:szCs w:val="32"/>
          <w:highlight w:val="none"/>
        </w:rPr>
        <w:t>减少</w:t>
      </w:r>
      <w:r>
        <w:rPr>
          <w:rFonts w:hint="eastAsia" w:ascii="仿宋_GB2312" w:eastAsia="仿宋_GB2312"/>
          <w:color w:val="auto"/>
          <w:sz w:val="32"/>
          <w:szCs w:val="32"/>
          <w:highlight w:val="none"/>
          <w:lang w:val="en-US" w:eastAsia="zh-CN"/>
        </w:rPr>
        <w:t>244.96</w:t>
      </w:r>
      <w:r>
        <w:rPr>
          <w:rFonts w:hint="eastAsia" w:ascii="仿宋_GB2312" w:eastAsia="仿宋_GB2312"/>
          <w:color w:val="auto"/>
          <w:sz w:val="32"/>
          <w:szCs w:val="32"/>
          <w:highlight w:val="none"/>
        </w:rPr>
        <w:t>万元，增长</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下降</w:t>
      </w:r>
      <w:r>
        <w:rPr>
          <w:rFonts w:hint="eastAsia" w:ascii="仿宋_GB2312" w:eastAsia="仿宋_GB2312"/>
          <w:color w:val="auto"/>
          <w:sz w:val="32"/>
          <w:szCs w:val="32"/>
          <w:highlight w:val="none"/>
          <w:lang w:val="en-US" w:eastAsia="zh-CN"/>
        </w:rPr>
        <w:t>28.1</w:t>
      </w:r>
      <w:r>
        <w:rPr>
          <w:rFonts w:ascii="仿宋_GB2312" w:eastAsia="仿宋_GB2312"/>
          <w:color w:val="auto"/>
          <w:sz w:val="32"/>
          <w:szCs w:val="32"/>
          <w:highlight w:val="none"/>
        </w:rPr>
        <w:t>%</w:t>
      </w:r>
      <w:r>
        <w:rPr>
          <w:rFonts w:hint="eastAsia" w:ascii="仿宋_GB2312" w:eastAsia="仿宋_GB2312"/>
          <w:color w:val="auto"/>
          <w:sz w:val="32"/>
          <w:szCs w:val="32"/>
          <w:highlight w:val="none"/>
        </w:rPr>
        <w:t>（或与</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年决算数持平）。主要原因是</w:t>
      </w:r>
      <w:r>
        <w:rPr>
          <w:rFonts w:hint="eastAsia" w:ascii="仿宋_GB2312" w:eastAsia="仿宋_GB2312"/>
          <w:color w:val="auto"/>
          <w:sz w:val="32"/>
          <w:szCs w:val="32"/>
          <w:highlight w:val="none"/>
          <w:lang w:eastAsia="zh-CN"/>
        </w:rPr>
        <w:t>市粮食物资储备局和市振兴办合并，造成费用增加</w:t>
      </w:r>
      <w:r>
        <w:rPr>
          <w:rFonts w:hint="eastAsia" w:ascii="仿宋_GB2312" w:eastAsia="仿宋_GB2312"/>
          <w:color w:val="auto"/>
          <w:sz w:val="32"/>
          <w:szCs w:val="32"/>
          <w:highlight w:val="none"/>
          <w:lang w:val="en-US" w:eastAsia="zh-CN"/>
        </w:rPr>
        <w:t>.</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（注：数据来源于财决附</w:t>
      </w:r>
      <w:r>
        <w:rPr>
          <w:rFonts w:ascii="仿宋" w:hAnsi="仿宋" w:eastAsia="仿宋"/>
          <w:b/>
          <w:color w:val="auto"/>
          <w:sz w:val="32"/>
          <w:szCs w:val="32"/>
          <w:highlight w:val="none"/>
        </w:rPr>
        <w:t>03</w:t>
      </w:r>
      <w:r>
        <w:rPr>
          <w:rFonts w:hint="eastAsia" w:ascii="仿宋" w:hAnsi="仿宋" w:eastAsia="仿宋"/>
          <w:b/>
          <w:color w:val="auto"/>
          <w:sz w:val="32"/>
          <w:szCs w:val="32"/>
          <w:highlight w:val="none"/>
        </w:rPr>
        <w:t>表）</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57" w:name="_Toc15377223"/>
      <w:r>
        <w:rPr>
          <w:rFonts w:hint="eastAsia" w:ascii="仿宋" w:hAnsi="仿宋" w:eastAsia="仿宋"/>
          <w:b/>
          <w:color w:val="auto"/>
          <w:sz w:val="32"/>
          <w:szCs w:val="32"/>
          <w:highlight w:val="none"/>
        </w:rPr>
        <w:t>（二）政府采购支出情况</w:t>
      </w:r>
      <w:bookmarkEnd w:id="57"/>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巴中市发展和改革委员会</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172</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77</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95</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eastAsia="zh-CN"/>
        </w:rPr>
        <w:t>营商环境服务工作及应急救灾装备</w:t>
      </w:r>
      <w:r>
        <w:rPr>
          <w:rFonts w:hint="eastAsia" w:ascii="仿宋_GB2312" w:eastAsia="仿宋_GB2312"/>
          <w:color w:val="auto"/>
          <w:sz w:val="32"/>
          <w:szCs w:val="32"/>
          <w:highlight w:val="none"/>
        </w:rPr>
        <w:t>。授予中小</w:t>
      </w:r>
      <w:bookmarkStart w:id="78" w:name="_GoBack"/>
      <w:bookmarkEnd w:id="78"/>
      <w:r>
        <w:rPr>
          <w:rFonts w:hint="eastAsia" w:ascii="仿宋_GB2312" w:eastAsia="仿宋_GB2312"/>
          <w:color w:val="auto"/>
          <w:sz w:val="32"/>
          <w:szCs w:val="32"/>
          <w:highlight w:val="none"/>
        </w:rPr>
        <w:t>企业合同金额</w:t>
      </w:r>
      <w:r>
        <w:rPr>
          <w:rFonts w:hint="eastAsia" w:ascii="仿宋_GB2312" w:eastAsia="仿宋_GB2312"/>
          <w:color w:val="auto"/>
          <w:sz w:val="32"/>
          <w:szCs w:val="32"/>
          <w:highlight w:val="none"/>
          <w:lang w:val="en-US" w:eastAsia="zh-CN"/>
        </w:rPr>
        <w:t>172</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100</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，其中：授予小微企业合同金额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spacing w:line="600" w:lineRule="exact"/>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（注：数据来源于财决附</w:t>
      </w:r>
      <w:r>
        <w:rPr>
          <w:rFonts w:ascii="仿宋" w:hAnsi="仿宋" w:eastAsia="仿宋"/>
          <w:b/>
          <w:color w:val="auto"/>
          <w:sz w:val="32"/>
          <w:szCs w:val="32"/>
          <w:highlight w:val="none"/>
        </w:rPr>
        <w:t>03</w:t>
      </w:r>
      <w:r>
        <w:rPr>
          <w:rFonts w:hint="eastAsia" w:ascii="仿宋" w:hAnsi="仿宋" w:eastAsia="仿宋"/>
          <w:b/>
          <w:color w:val="auto"/>
          <w:sz w:val="32"/>
          <w:szCs w:val="32"/>
          <w:highlight w:val="none"/>
        </w:rPr>
        <w:t>表）</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58" w:name="_Toc15377224"/>
      <w:r>
        <w:rPr>
          <w:rFonts w:hint="eastAsia" w:ascii="仿宋" w:hAnsi="仿宋" w:eastAsia="仿宋"/>
          <w:b/>
          <w:color w:val="auto"/>
          <w:sz w:val="32"/>
          <w:szCs w:val="32"/>
          <w:highlight w:val="none"/>
        </w:rPr>
        <w:t>（三）国有资产占有使用情况</w:t>
      </w:r>
      <w:bookmarkEnd w:id="58"/>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巴中市发展和改革委员会</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辆……其他用车主要是用于用于</w:t>
      </w:r>
      <w:r>
        <w:rPr>
          <w:rFonts w:hint="eastAsia" w:ascii="仿宋_GB2312" w:eastAsia="仿宋_GB2312"/>
          <w:color w:val="auto"/>
          <w:sz w:val="32"/>
          <w:szCs w:val="32"/>
          <w:highlight w:val="none"/>
          <w:lang w:eastAsia="zh-CN"/>
        </w:rPr>
        <w:t>日常工作用，</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autoSpaceDE w:val="0"/>
        <w:autoSpaceDN w:val="0"/>
        <w:adjustRightInd w:val="0"/>
        <w:spacing w:line="600" w:lineRule="exact"/>
        <w:ind w:firstLine="643" w:firstLineChars="200"/>
        <w:jc w:val="left"/>
        <w:rPr>
          <w:rFonts w:ascii="仿宋" w:hAnsi="仿宋" w:eastAsia="仿宋"/>
          <w:b/>
          <w:color w:val="auto"/>
          <w:sz w:val="32"/>
          <w:szCs w:val="32"/>
          <w:highlight w:val="none"/>
        </w:rPr>
      </w:pPr>
      <w:r>
        <w:rPr>
          <w:rFonts w:hint="eastAsia" w:ascii="仿宋" w:hAnsi="仿宋" w:eastAsia="仿宋"/>
          <w:b/>
          <w:color w:val="auto"/>
          <w:sz w:val="32"/>
          <w:szCs w:val="32"/>
          <w:highlight w:val="none"/>
        </w:rPr>
        <w:t>（注：数据来源</w:t>
      </w:r>
      <w:r>
        <w:rPr>
          <w:rFonts w:hint="eastAsia" w:ascii="仿宋" w:hAnsi="仿宋" w:eastAsia="仿宋"/>
          <w:b/>
          <w:color w:val="auto"/>
          <w:sz w:val="32"/>
          <w:szCs w:val="32"/>
          <w:highlight w:val="none"/>
          <w:lang w:eastAsia="zh-CN"/>
        </w:rPr>
        <w:t>于</w:t>
      </w:r>
      <w:r>
        <w:rPr>
          <w:rFonts w:hint="eastAsia" w:ascii="仿宋" w:hAnsi="仿宋" w:eastAsia="仿宋"/>
          <w:b/>
          <w:color w:val="auto"/>
          <w:sz w:val="32"/>
          <w:szCs w:val="32"/>
          <w:highlight w:val="none"/>
        </w:rPr>
        <w:t>财决附</w:t>
      </w:r>
      <w:r>
        <w:rPr>
          <w:rFonts w:ascii="仿宋" w:hAnsi="仿宋" w:eastAsia="仿宋"/>
          <w:b/>
          <w:color w:val="auto"/>
          <w:sz w:val="32"/>
          <w:szCs w:val="32"/>
          <w:highlight w:val="none"/>
        </w:rPr>
        <w:t>03</w:t>
      </w:r>
      <w:r>
        <w:rPr>
          <w:rFonts w:hint="eastAsia" w:ascii="仿宋" w:hAnsi="仿宋" w:eastAsia="仿宋"/>
          <w:b/>
          <w:color w:val="auto"/>
          <w:sz w:val="32"/>
          <w:szCs w:val="32"/>
          <w:highlight w:val="none"/>
        </w:rPr>
        <w:t>表，按部门决算报表填报数据罗列车辆情况。）</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r>
        <w:rPr>
          <w:rFonts w:hint="eastAsia" w:ascii="仿宋" w:hAnsi="仿宋" w:eastAsia="仿宋"/>
          <w:b/>
          <w:color w:val="auto"/>
          <w:sz w:val="32"/>
          <w:szCs w:val="32"/>
          <w:highlight w:val="none"/>
        </w:rPr>
        <w:t>（四）预算绩效管理情况</w:t>
      </w:r>
    </w:p>
    <w:p>
      <w:pPr>
        <w:spacing w:line="58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根据预算绩效管理要求，本部门在</w:t>
      </w:r>
      <w:r>
        <w:rPr>
          <w:rFonts w:hint="eastAsia" w:ascii="仿宋_GB2312" w:hAnsi="仿宋_GB2312" w:eastAsia="仿宋_GB2312" w:cs="仿宋_GB2312"/>
          <w:color w:val="auto"/>
          <w:sz w:val="32"/>
          <w:szCs w:val="32"/>
          <w:highlight w:val="none"/>
          <w:lang w:val="en-US" w:eastAsia="zh-CN"/>
        </w:rPr>
        <w:t>2021年度</w:t>
      </w:r>
      <w:r>
        <w:rPr>
          <w:rFonts w:hint="eastAsia" w:ascii="仿宋_GB2312" w:hAnsi="仿宋_GB2312" w:eastAsia="仿宋_GB2312" w:cs="仿宋_GB2312"/>
          <w:color w:val="auto"/>
          <w:sz w:val="32"/>
          <w:szCs w:val="32"/>
          <w:highlight w:val="none"/>
        </w:rPr>
        <w:t>预算编制阶段，组织对XXX项目（项目名称）</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lang w:val="en-US" w:eastAsia="zh-CN"/>
        </w:rPr>
        <w:t>XX个项目</w:t>
      </w:r>
      <w:r>
        <w:rPr>
          <w:rFonts w:hint="eastAsia" w:ascii="仿宋_GB2312" w:hAnsi="仿宋_GB2312" w:eastAsia="仿宋_GB2312" w:cs="仿宋_GB2312"/>
          <w:color w:val="auto"/>
          <w:sz w:val="32"/>
          <w:szCs w:val="32"/>
          <w:highlight w:val="none"/>
        </w:rPr>
        <w:t>开展了预算事前绩效评估，对XX个项目编制了绩效目标，预算执行过程中，选取XX个项目开展绩效监控，年终执行完毕后，对XX个项目开展了绩效自评</w:t>
      </w:r>
      <w:r>
        <w:rPr>
          <w:rFonts w:hint="eastAsia" w:ascii="仿宋_GB2312" w:hAnsi="仿宋_GB2312" w:eastAsia="仿宋_GB2312" w:cs="仿宋_GB2312"/>
          <w:color w:val="auto"/>
          <w:sz w:val="32"/>
          <w:szCs w:val="32"/>
          <w:highlight w:val="none"/>
          <w:lang w:eastAsia="zh-CN"/>
        </w:rPr>
        <w:t>。同时，</w:t>
      </w:r>
      <w:r>
        <w:rPr>
          <w:rFonts w:hint="eastAsia" w:ascii="仿宋_GB2312" w:hAnsi="仿宋_GB2312" w:eastAsia="仿宋_GB2312" w:cs="仿宋_GB2312"/>
          <w:color w:val="auto"/>
          <w:sz w:val="32"/>
          <w:szCs w:val="32"/>
          <w:highlight w:val="none"/>
        </w:rPr>
        <w:t>本部门对20</w:t>
      </w:r>
      <w:r>
        <w:rPr>
          <w:rFonts w:hint="eastAsia" w:ascii="仿宋_GB2312" w:hAnsi="仿宋_GB2312" w:eastAsia="仿宋_GB2312" w:cs="仿宋_GB2312"/>
          <w:color w:val="auto"/>
          <w:sz w:val="32"/>
          <w:szCs w:val="32"/>
          <w:highlight w:val="none"/>
          <w:lang w:val="en-US" w:eastAsia="zh-CN"/>
        </w:rPr>
        <w:t>21</w:t>
      </w:r>
      <w:r>
        <w:rPr>
          <w:rFonts w:hint="eastAsia" w:ascii="仿宋_GB2312" w:hAnsi="仿宋_GB2312" w:eastAsia="仿宋_GB2312" w:cs="仿宋_GB2312"/>
          <w:color w:val="auto"/>
          <w:sz w:val="32"/>
          <w:szCs w:val="32"/>
          <w:highlight w:val="none"/>
        </w:rPr>
        <w:t>年部门整体开展绩效自评，《202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年XX部门整体绩效评价报告》见附件（</w:t>
      </w:r>
      <w:r>
        <w:rPr>
          <w:rFonts w:hint="eastAsia" w:ascii="仿宋_GB2312" w:hAnsi="仿宋_GB2312" w:eastAsia="仿宋_GB2312" w:cs="仿宋_GB2312"/>
          <w:color w:val="auto"/>
          <w:sz w:val="32"/>
          <w:szCs w:val="32"/>
          <w:highlight w:val="none"/>
          <w:lang w:eastAsia="zh-CN"/>
        </w:rPr>
        <w:t>第四部分</w:t>
      </w:r>
      <w:r>
        <w:rPr>
          <w:rFonts w:hint="eastAsia" w:ascii="仿宋_GB2312" w:hAnsi="仿宋_GB2312" w:eastAsia="仿宋_GB2312" w:cs="仿宋_GB2312"/>
          <w:color w:val="auto"/>
          <w:sz w:val="32"/>
          <w:szCs w:val="32"/>
          <w:highlight w:val="none"/>
        </w:rPr>
        <w:t>）。</w:t>
      </w: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3"/>
        </w:numPr>
        <w:spacing w:line="600" w:lineRule="exact"/>
        <w:ind w:firstLine="660" w:firstLineChars="150"/>
        <w:jc w:val="center"/>
        <w:outlineLvl w:val="0"/>
        <w:rPr>
          <w:rStyle w:val="24"/>
          <w:rFonts w:ascii="黑体" w:hAnsi="黑体" w:eastAsia="黑体"/>
          <w:b w:val="0"/>
          <w:color w:val="auto"/>
          <w:highlight w:val="none"/>
        </w:rPr>
      </w:pPr>
      <w:bookmarkStart w:id="59" w:name="_Toc15377225"/>
      <w:bookmarkStart w:id="60" w:name="_Toc15396613"/>
      <w:r>
        <w:rPr>
          <w:rFonts w:hint="eastAsia" w:ascii="黑体" w:hAnsi="黑体" w:eastAsia="黑体"/>
          <w:color w:val="auto"/>
          <w:sz w:val="44"/>
          <w:szCs w:val="44"/>
          <w:highlight w:val="none"/>
        </w:rPr>
        <w:t>名</w:t>
      </w:r>
      <w:r>
        <w:rPr>
          <w:rStyle w:val="24"/>
          <w:rFonts w:hint="eastAsia" w:ascii="黑体" w:hAnsi="黑体" w:eastAsia="黑体"/>
          <w:b w:val="0"/>
          <w:color w:val="auto"/>
          <w:highlight w:val="none"/>
        </w:rPr>
        <w:t>词解释</w:t>
      </w:r>
      <w:bookmarkEnd w:id="59"/>
      <w:bookmarkEnd w:id="60"/>
    </w:p>
    <w:p>
      <w:pPr>
        <w:spacing w:line="600" w:lineRule="exact"/>
        <w:jc w:val="left"/>
        <w:rPr>
          <w:rFonts w:ascii="宋体"/>
          <w:b/>
          <w:color w:val="auto"/>
          <w:sz w:val="44"/>
          <w:szCs w:val="44"/>
          <w:highlight w:val="none"/>
        </w:rPr>
      </w:pP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事业收入：指事业单位开展专业业务活动及辅助活动取得的收入。如…（二级预算单位事业收入情况）等。</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经营收入：指事业单位在专业业务活动及其辅助活动之外开展非独立核算经营活动取得的收入。如…（二级预算单位经营收入情况）等。</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其他收入：指单位取得的除上述收入以外的各项收入。主要是…（收入类型）等。</w:t>
      </w:r>
      <w:r>
        <w:rPr>
          <w:rFonts w:ascii="仿宋_GB2312" w:eastAsia="仿宋_GB2312"/>
          <w:color w:val="auto"/>
          <w:sz w:val="32"/>
          <w:szCs w:val="32"/>
          <w:highlight w:val="none"/>
        </w:rPr>
        <w:t xml:space="preserve"> </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6.</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7.</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8</w:t>
      </w:r>
      <w:r>
        <w:rPr>
          <w:rFonts w:hint="eastAsia" w:ascii="仿宋_GB2312" w:eastAsia="仿宋_GB2312"/>
          <w:color w:val="auto"/>
          <w:sz w:val="32"/>
          <w:szCs w:val="32"/>
          <w:highlight w:val="none"/>
        </w:rPr>
        <w:t>、年末结转和结余：指单位按有关规定结转到下年或以后年度继续使用的资金。</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9.</w:t>
      </w:r>
      <w:r>
        <w:rPr>
          <w:rFonts w:hint="eastAsia" w:ascii="仿宋_GB2312" w:eastAsia="仿宋_GB2312"/>
          <w:color w:val="auto"/>
          <w:sz w:val="32"/>
          <w:szCs w:val="32"/>
          <w:highlight w:val="none"/>
        </w:rPr>
        <w:t>一般公共服务（类）…（款）…（项）：指……。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10.</w:t>
      </w:r>
      <w:r>
        <w:rPr>
          <w:rFonts w:hint="eastAsia" w:ascii="仿宋_GB2312" w:eastAsia="仿宋_GB2312"/>
          <w:color w:val="auto"/>
          <w:sz w:val="32"/>
          <w:szCs w:val="32"/>
          <w:highlight w:val="none"/>
        </w:rPr>
        <w:t>外交（类）…（款）…（项）：指……。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11.</w:t>
      </w:r>
      <w:r>
        <w:rPr>
          <w:rFonts w:hint="eastAsia" w:ascii="仿宋_GB2312" w:eastAsia="仿宋_GB2312"/>
          <w:color w:val="auto"/>
          <w:sz w:val="32"/>
          <w:szCs w:val="32"/>
          <w:highlight w:val="none"/>
        </w:rPr>
        <w:t>公共安全（类）…（款）…（项）：指……。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12.</w:t>
      </w:r>
      <w:r>
        <w:rPr>
          <w:rFonts w:hint="eastAsia" w:ascii="仿宋_GB2312" w:eastAsia="仿宋_GB2312"/>
          <w:color w:val="auto"/>
          <w:sz w:val="32"/>
          <w:szCs w:val="32"/>
          <w:highlight w:val="none"/>
        </w:rPr>
        <w:t>教育（类）…（款）…（项）：指……。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13.</w:t>
      </w:r>
      <w:r>
        <w:rPr>
          <w:rFonts w:hint="eastAsia" w:ascii="仿宋_GB2312" w:eastAsia="仿宋_GB2312"/>
          <w:color w:val="auto"/>
          <w:sz w:val="32"/>
          <w:szCs w:val="32"/>
          <w:highlight w:val="none"/>
        </w:rPr>
        <w:t>科学技术（类）…（款）…（项）：指……。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14.</w:t>
      </w:r>
      <w:r>
        <w:rPr>
          <w:rFonts w:hint="eastAsia" w:ascii="仿宋_GB2312" w:eastAsia="仿宋_GB2312"/>
          <w:color w:val="auto"/>
          <w:sz w:val="32"/>
          <w:szCs w:val="32"/>
          <w:highlight w:val="none"/>
        </w:rPr>
        <w:t>文化体育与传媒（类）…（款）…（项）：指……。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15.</w:t>
      </w:r>
      <w:r>
        <w:rPr>
          <w:rFonts w:hint="eastAsia" w:ascii="仿宋_GB2312" w:eastAsia="仿宋_GB2312"/>
          <w:color w:val="auto"/>
          <w:sz w:val="32"/>
          <w:szCs w:val="32"/>
          <w:highlight w:val="none"/>
        </w:rPr>
        <w:t>社会保障和就业（类）…（款）…（项）：指……。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16.</w:t>
      </w:r>
      <w:r>
        <w:rPr>
          <w:rFonts w:hint="eastAsia" w:ascii="仿宋_GB2312" w:eastAsia="仿宋_GB2312"/>
          <w:color w:val="auto"/>
          <w:sz w:val="32"/>
          <w:szCs w:val="32"/>
          <w:highlight w:val="none"/>
        </w:rPr>
        <w:t>医疗卫生与计划生育（类）…（款）…（项）：指……。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17.</w:t>
      </w:r>
      <w:r>
        <w:rPr>
          <w:rFonts w:hint="eastAsia" w:ascii="仿宋_GB2312" w:eastAsia="仿宋_GB2312"/>
          <w:color w:val="auto"/>
          <w:sz w:val="32"/>
          <w:szCs w:val="32"/>
          <w:highlight w:val="none"/>
        </w:rPr>
        <w:t>节能环保（类）…（款）…（项）：指……。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18.</w:t>
      </w:r>
      <w:r>
        <w:rPr>
          <w:rFonts w:hint="eastAsia" w:ascii="仿宋_GB2312" w:eastAsia="仿宋_GB2312"/>
          <w:color w:val="auto"/>
          <w:sz w:val="32"/>
          <w:szCs w:val="32"/>
          <w:highlight w:val="none"/>
        </w:rPr>
        <w:t>城乡社区（类）…（款）…（项）：指……。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19.</w:t>
      </w:r>
      <w:r>
        <w:rPr>
          <w:rFonts w:hint="eastAsia" w:ascii="仿宋_GB2312" w:eastAsia="仿宋_GB2312"/>
          <w:color w:val="auto"/>
          <w:sz w:val="32"/>
          <w:szCs w:val="32"/>
          <w:highlight w:val="none"/>
        </w:rPr>
        <w:t>农林水（类）…（款）…（项）：指……。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rPr>
        <w:t>交通运输（类）…（款）…（项）：指……。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21.</w:t>
      </w:r>
      <w:r>
        <w:rPr>
          <w:rFonts w:hint="eastAsia" w:ascii="仿宋_GB2312" w:eastAsia="仿宋_GB2312"/>
          <w:color w:val="auto"/>
          <w:sz w:val="32"/>
          <w:szCs w:val="32"/>
          <w:highlight w:val="none"/>
        </w:rPr>
        <w:t>资源勘探信息等（类）…（款）…（项）：指……。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22.</w:t>
      </w:r>
      <w:r>
        <w:rPr>
          <w:rFonts w:hint="eastAsia" w:ascii="仿宋_GB2312" w:eastAsia="仿宋_GB2312"/>
          <w:color w:val="auto"/>
          <w:sz w:val="32"/>
          <w:szCs w:val="32"/>
          <w:highlight w:val="none"/>
        </w:rPr>
        <w:t>商业服务业（类）…（款）…（项）：指……。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23.</w:t>
      </w:r>
      <w:r>
        <w:rPr>
          <w:rFonts w:hint="eastAsia" w:ascii="仿宋_GB2312" w:eastAsia="仿宋_GB2312"/>
          <w:color w:val="auto"/>
          <w:sz w:val="32"/>
          <w:szCs w:val="32"/>
          <w:highlight w:val="none"/>
        </w:rPr>
        <w:t>金融（类）…（款）…（项）：指……。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24.</w:t>
      </w:r>
      <w:r>
        <w:rPr>
          <w:rFonts w:hint="eastAsia" w:ascii="仿宋_GB2312" w:eastAsia="仿宋_GB2312"/>
          <w:color w:val="auto"/>
          <w:sz w:val="32"/>
          <w:szCs w:val="32"/>
          <w:highlight w:val="none"/>
        </w:rPr>
        <w:t>国土海洋气象等（类）…（款）…（项）：指……。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25.</w:t>
      </w:r>
      <w:r>
        <w:rPr>
          <w:rFonts w:hint="eastAsia" w:ascii="仿宋_GB2312" w:eastAsia="仿宋_GB2312"/>
          <w:color w:val="auto"/>
          <w:sz w:val="32"/>
          <w:szCs w:val="32"/>
          <w:highlight w:val="none"/>
        </w:rPr>
        <w:t>住房保障（类）…（款）…（项）：指……。</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26.</w:t>
      </w:r>
      <w:r>
        <w:rPr>
          <w:rFonts w:hint="eastAsia" w:ascii="仿宋_GB2312" w:eastAsia="仿宋_GB2312"/>
          <w:color w:val="auto"/>
          <w:sz w:val="32"/>
          <w:szCs w:val="32"/>
          <w:highlight w:val="none"/>
        </w:rPr>
        <w:t>粮油物资储备（类）…（款）…（项）：指……。</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w:t>
      </w:r>
    </w:p>
    <w:p>
      <w:pPr>
        <w:spacing w:line="600" w:lineRule="exact"/>
        <w:ind w:firstLine="640"/>
        <w:rPr>
          <w:rFonts w:ascii="仿宋" w:hAnsi="仿宋" w:eastAsia="仿宋"/>
          <w:b/>
          <w:color w:val="auto"/>
          <w:sz w:val="32"/>
          <w:szCs w:val="32"/>
          <w:highlight w:val="none"/>
        </w:rPr>
      </w:pPr>
      <w:r>
        <w:rPr>
          <w:rFonts w:hint="eastAsia" w:ascii="仿宋" w:hAnsi="仿宋" w:eastAsia="仿宋"/>
          <w:b/>
          <w:color w:val="auto"/>
          <w:sz w:val="32"/>
          <w:szCs w:val="32"/>
          <w:highlight w:val="none"/>
        </w:rPr>
        <w:t>（解释本部门决算报表中</w:t>
      </w:r>
      <w:r>
        <w:rPr>
          <w:rFonts w:hint="eastAsia" w:ascii="仿宋" w:hAnsi="仿宋" w:eastAsia="仿宋"/>
          <w:b/>
          <w:color w:val="auto"/>
          <w:sz w:val="32"/>
          <w:szCs w:val="32"/>
          <w:highlight w:val="none"/>
          <w:lang w:eastAsia="zh-CN"/>
        </w:rPr>
        <w:t>涉及的</w:t>
      </w:r>
      <w:r>
        <w:rPr>
          <w:rFonts w:hint="eastAsia" w:ascii="仿宋" w:hAnsi="仿宋" w:eastAsia="仿宋"/>
          <w:b/>
          <w:color w:val="auto"/>
          <w:sz w:val="32"/>
          <w:szCs w:val="32"/>
          <w:highlight w:val="none"/>
        </w:rPr>
        <w:t>全部功能分类科目至项级，</w:t>
      </w:r>
      <w:r>
        <w:rPr>
          <w:rFonts w:hint="eastAsia" w:ascii="仿宋" w:hAnsi="仿宋" w:eastAsia="仿宋"/>
          <w:b/>
          <w:color w:val="auto"/>
          <w:sz w:val="32"/>
          <w:szCs w:val="32"/>
          <w:highlight w:val="none"/>
          <w:lang w:eastAsia="zh-CN"/>
        </w:rPr>
        <w:t>不涉及的科目请自行删除。</w:t>
      </w:r>
      <w:r>
        <w:rPr>
          <w:rFonts w:hint="eastAsia" w:ascii="仿宋" w:hAnsi="仿宋" w:eastAsia="仿宋"/>
          <w:b/>
          <w:color w:val="auto"/>
          <w:sz w:val="32"/>
          <w:szCs w:val="32"/>
          <w:highlight w:val="none"/>
        </w:rPr>
        <w:t>请参照《</w:t>
      </w:r>
      <w:r>
        <w:rPr>
          <w:rFonts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年政府收支分类科目》增减内容。）</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27.</w:t>
      </w:r>
      <w:r>
        <w:rPr>
          <w:rFonts w:hint="eastAsia" w:ascii="仿宋_GB2312" w:eastAsia="仿宋_GB2312"/>
          <w:color w:val="auto"/>
          <w:sz w:val="32"/>
          <w:szCs w:val="32"/>
          <w:highlight w:val="none"/>
        </w:rPr>
        <w:t>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28.</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29.</w:t>
      </w:r>
      <w:r>
        <w:rPr>
          <w:rFonts w:hint="eastAsia" w:ascii="仿宋_GB2312" w:eastAsia="仿宋_GB2312"/>
          <w:color w:val="auto"/>
          <w:sz w:val="32"/>
          <w:szCs w:val="32"/>
          <w:highlight w:val="none"/>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30.</w:t>
      </w:r>
      <w:r>
        <w:rPr>
          <w:rFonts w:hint="eastAsia" w:ascii="仿宋_GB2312" w:eastAsia="仿宋_GB2312"/>
          <w:color w:val="auto"/>
          <w:sz w:val="32"/>
          <w:szCs w:val="32"/>
          <w:highlight w:val="none"/>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31.</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32.</w:t>
      </w:r>
      <w:r>
        <w:rPr>
          <w:rFonts w:hint="eastAsia" w:ascii="仿宋_GB2312" w:eastAsia="仿宋_GB2312"/>
          <w:color w:val="auto"/>
          <w:sz w:val="32"/>
          <w:szCs w:val="32"/>
          <w:highlight w:val="none"/>
        </w:rPr>
        <w:t>……。</w:t>
      </w:r>
    </w:p>
    <w:p>
      <w:pPr>
        <w:pStyle w:val="22"/>
        <w:spacing w:line="560" w:lineRule="exact"/>
        <w:ind w:firstLine="640" w:firstLineChars="200"/>
        <w:rPr>
          <w:rFonts w:ascii="仿宋_GB2312" w:eastAsia="仿宋_GB2312" w:cs="黑体"/>
          <w:color w:val="auto"/>
          <w:sz w:val="32"/>
          <w:szCs w:val="32"/>
          <w:highlight w:val="none"/>
        </w:rPr>
      </w:pPr>
    </w:p>
    <w:p>
      <w:pPr>
        <w:ind w:firstLine="643" w:firstLineChars="200"/>
        <w:rPr>
          <w:rFonts w:ascii="仿宋" w:hAnsi="仿宋" w:eastAsia="仿宋"/>
          <w:b/>
          <w:color w:val="auto"/>
          <w:sz w:val="32"/>
          <w:szCs w:val="32"/>
          <w:highlight w:val="none"/>
        </w:rPr>
      </w:pPr>
      <w:r>
        <w:rPr>
          <w:rFonts w:hint="eastAsia" w:ascii="仿宋" w:hAnsi="仿宋" w:eastAsia="仿宋"/>
          <w:b/>
          <w:color w:val="auto"/>
          <w:sz w:val="32"/>
          <w:szCs w:val="32"/>
          <w:highlight w:val="none"/>
        </w:rPr>
        <w:t>（名词解释部分请根据各部门实际列支情况罗列，并根据本部门职责职能增减名词解释内容。）</w:t>
      </w:r>
    </w:p>
    <w:p>
      <w:pPr>
        <w:spacing w:line="600" w:lineRule="exact"/>
        <w:jc w:val="center"/>
        <w:outlineLvl w:val="0"/>
        <w:rPr>
          <w:rStyle w:val="24"/>
          <w:rFonts w:hint="eastAsia" w:ascii="黑体" w:hAnsi="黑体" w:eastAsia="黑体"/>
          <w:b w:val="0"/>
          <w:color w:val="auto"/>
          <w:highlight w:val="none"/>
          <w:lang w:eastAsia="zh-CN"/>
        </w:rPr>
      </w:pPr>
      <w:bookmarkStart w:id="61" w:name="_Toc15377226"/>
      <w:r>
        <w:rPr>
          <w:rFonts w:ascii="宋体"/>
          <w:b/>
          <w:color w:val="auto"/>
          <w:sz w:val="44"/>
          <w:szCs w:val="44"/>
          <w:highlight w:val="none"/>
        </w:rPr>
        <w:br w:type="page"/>
      </w:r>
      <w:bookmarkStart w:id="62" w:name="_Toc15396614"/>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四部分 附件</w:t>
      </w:r>
      <w:bookmarkEnd w:id="62"/>
    </w:p>
    <w:p>
      <w:pPr>
        <w:keepNext w:val="0"/>
        <w:keepLines w:val="0"/>
        <w:pageBreakBefore w:val="0"/>
        <w:kinsoku/>
        <w:wordWrap/>
        <w:overflowPunct/>
        <w:topLinePunct w:val="0"/>
        <w:autoSpaceDE/>
        <w:autoSpaceDN/>
        <w:bidi w:val="0"/>
        <w:spacing w:line="572" w:lineRule="exact"/>
        <w:jc w:val="left"/>
        <w:textAlignment w:val="auto"/>
        <w:outlineLvl w:val="0"/>
        <w:rPr>
          <w:rFonts w:ascii="方正小标宋简体" w:hAnsi="方正小标宋简体" w:eastAsia="方正小标宋简体" w:cs="方正小标宋简体"/>
          <w:color w:val="auto"/>
          <w:sz w:val="44"/>
          <w:szCs w:val="44"/>
          <w:highlight w:val="none"/>
        </w:rPr>
      </w:pPr>
      <w:r>
        <w:rPr>
          <w:rFonts w:hint="eastAsia" w:ascii="黑体" w:hAnsi="黑体" w:eastAsia="黑体" w:cs="黑体"/>
          <w:color w:val="auto"/>
          <w:sz w:val="32"/>
          <w:szCs w:val="32"/>
          <w:highlight w:val="none"/>
        </w:rPr>
        <w:t>附件</w:t>
      </w:r>
    </w:p>
    <w:p>
      <w:pPr>
        <w:keepNext w:val="0"/>
        <w:keepLines w:val="0"/>
        <w:pageBreakBefore w:val="0"/>
        <w:kinsoku/>
        <w:wordWrap/>
        <w:overflowPunct/>
        <w:topLinePunct w:val="0"/>
        <w:autoSpaceDE/>
        <w:autoSpaceDN/>
        <w:bidi w:val="0"/>
        <w:spacing w:line="572" w:lineRule="exact"/>
        <w:jc w:val="center"/>
        <w:textAlignment w:val="auto"/>
        <w:rPr>
          <w:rFonts w:ascii="方正小标宋简体" w:hAnsi="宋体" w:eastAsia="方正小标宋简体"/>
          <w:color w:val="auto"/>
          <w:kern w:val="0"/>
          <w:sz w:val="40"/>
          <w:szCs w:val="44"/>
          <w:highlight w:val="none"/>
          <w:lang w:val="zh-CN"/>
        </w:rPr>
      </w:pPr>
      <w:r>
        <w:rPr>
          <w:rFonts w:hint="eastAsia" w:ascii="方正小标宋简体" w:hAnsi="宋体" w:eastAsia="方正小标宋简体"/>
          <w:color w:val="auto"/>
          <w:kern w:val="0"/>
          <w:sz w:val="40"/>
          <w:szCs w:val="44"/>
          <w:highlight w:val="none"/>
        </w:rPr>
        <w:t>202</w:t>
      </w:r>
      <w:r>
        <w:rPr>
          <w:rFonts w:hint="eastAsia" w:ascii="方正小标宋简体" w:hAnsi="宋体" w:eastAsia="方正小标宋简体"/>
          <w:color w:val="auto"/>
          <w:kern w:val="0"/>
          <w:sz w:val="40"/>
          <w:szCs w:val="44"/>
          <w:highlight w:val="none"/>
          <w:lang w:val="en-US" w:eastAsia="zh-CN"/>
        </w:rPr>
        <w:t>1</w:t>
      </w:r>
      <w:r>
        <w:rPr>
          <w:rFonts w:hint="eastAsia" w:ascii="方正小标宋简体" w:hAnsi="宋体" w:eastAsia="方正小标宋简体"/>
          <w:color w:val="auto"/>
          <w:kern w:val="0"/>
          <w:sz w:val="40"/>
          <w:szCs w:val="44"/>
          <w:highlight w:val="none"/>
        </w:rPr>
        <w:t>年</w:t>
      </w:r>
      <w:r>
        <w:rPr>
          <w:rFonts w:hint="eastAsia" w:ascii="黑体" w:hAnsi="黑体" w:eastAsia="黑体" w:cs="黑体"/>
          <w:b/>
          <w:bCs w:val="0"/>
          <w:color w:val="000000"/>
          <w:kern w:val="0"/>
          <w:sz w:val="44"/>
          <w:szCs w:val="44"/>
          <w:lang w:val="zh-CN"/>
        </w:rPr>
        <w:t>巴中市发展和改革委员会</w:t>
      </w:r>
      <w:r>
        <w:rPr>
          <w:rFonts w:hint="eastAsia" w:ascii="方正小标宋简体" w:hAnsi="宋体" w:eastAsia="方正小标宋简体"/>
          <w:color w:val="auto"/>
          <w:kern w:val="0"/>
          <w:sz w:val="40"/>
          <w:szCs w:val="44"/>
          <w:highlight w:val="none"/>
        </w:rPr>
        <w:t>部门整体绩效评价报告</w:t>
      </w:r>
    </w:p>
    <w:p>
      <w:pPr>
        <w:keepNext w:val="0"/>
        <w:keepLines w:val="0"/>
        <w:pageBreakBefore w:val="0"/>
        <w:widowControl/>
        <w:kinsoku/>
        <w:wordWrap/>
        <w:overflowPunct/>
        <w:topLinePunct w:val="0"/>
        <w:autoSpaceDE/>
        <w:autoSpaceDN/>
        <w:bidi w:val="0"/>
        <w:spacing w:line="572" w:lineRule="exact"/>
        <w:ind w:firstLine="640" w:firstLineChars="200"/>
        <w:contextualSpacing/>
        <w:jc w:val="center"/>
        <w:textAlignment w:val="auto"/>
        <w:rPr>
          <w:rFonts w:ascii="仿宋_GB2312" w:hAnsi="宋体" w:eastAsia="仿宋_GB2312"/>
          <w:color w:val="auto"/>
          <w:sz w:val="32"/>
          <w:szCs w:val="32"/>
          <w:highlight w:val="none"/>
          <w:shd w:val="clear" w:color="auto" w:fill="FFFFFF"/>
        </w:rPr>
      </w:pPr>
      <w:r>
        <w:rPr>
          <w:rFonts w:hint="eastAsia" w:ascii="仿宋_GB2312" w:hAnsi="宋体" w:eastAsia="仿宋_GB2312"/>
          <w:color w:val="auto"/>
          <w:sz w:val="32"/>
          <w:szCs w:val="32"/>
          <w:highlight w:val="none"/>
          <w:shd w:val="clear" w:color="auto" w:fill="FFFFFF"/>
        </w:rPr>
        <w:t>（报告范围包括机关和下属单位）</w:t>
      </w:r>
    </w:p>
    <w:p>
      <w:pPr>
        <w:keepNext w:val="0"/>
        <w:keepLines w:val="0"/>
        <w:pageBreakBefore w:val="0"/>
        <w:widowControl/>
        <w:kinsoku/>
        <w:wordWrap/>
        <w:overflowPunct/>
        <w:topLinePunct w:val="0"/>
        <w:autoSpaceDE/>
        <w:autoSpaceDN/>
        <w:bidi w:val="0"/>
        <w:adjustRightInd w:val="0"/>
        <w:snapToGrid w:val="0"/>
        <w:spacing w:line="572" w:lineRule="exact"/>
        <w:ind w:firstLine="480" w:firstLineChars="200"/>
        <w:contextualSpacing/>
        <w:jc w:val="left"/>
        <w:textAlignment w:val="auto"/>
        <w:rPr>
          <w:rFonts w:ascii="黑体" w:hAnsi="宋体" w:eastAsia="黑体" w:cs="宋体"/>
          <w:color w:val="auto"/>
          <w:kern w:val="0"/>
          <w:sz w:val="24"/>
          <w:szCs w:val="32"/>
          <w:highlight w:val="none"/>
          <w:shd w:val="clear" w:color="auto" w:fill="FFFFFF"/>
        </w:rPr>
      </w:pP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lang w:val="zh-CN"/>
        </w:rPr>
      </w:pPr>
      <w:r>
        <w:rPr>
          <w:rFonts w:hint="eastAsia" w:ascii="黑体" w:hAnsi="宋体" w:eastAsia="黑体" w:cs="宋体"/>
          <w:color w:val="auto"/>
          <w:kern w:val="0"/>
          <w:sz w:val="32"/>
          <w:szCs w:val="32"/>
          <w:highlight w:val="none"/>
          <w:shd w:val="clear" w:color="auto" w:fill="FFFFFF"/>
        </w:rPr>
        <w:t>一、</w:t>
      </w:r>
      <w:r>
        <w:rPr>
          <w:rFonts w:hint="eastAsia" w:ascii="黑体" w:hAnsi="宋体" w:eastAsia="黑体" w:cs="宋体"/>
          <w:color w:val="auto"/>
          <w:kern w:val="0"/>
          <w:sz w:val="32"/>
          <w:szCs w:val="32"/>
          <w:highlight w:val="none"/>
          <w:shd w:val="clear" w:color="auto" w:fill="FFFFFF"/>
          <w:lang w:val="zh-CN"/>
        </w:rPr>
        <w:t>部门（单位）概况</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jc w:val="both"/>
        <w:textAlignment w:val="auto"/>
        <w:outlineLvl w:val="9"/>
        <w:rPr>
          <w:rFonts w:hint="eastAsia" w:ascii="仿宋" w:hAnsi="仿宋" w:eastAsia="仿宋" w:cs="仿宋"/>
          <w:sz w:val="32"/>
          <w:szCs w:val="32"/>
          <w:lang w:val="zh-CN"/>
        </w:rPr>
      </w:pPr>
      <w:r>
        <w:rPr>
          <w:rFonts w:hint="eastAsia" w:ascii="仿宋" w:hAnsi="仿宋" w:eastAsia="仿宋" w:cs="仿宋"/>
          <w:sz w:val="32"/>
          <w:szCs w:val="32"/>
          <w:lang w:val="zh-CN"/>
        </w:rPr>
        <w:t>（一）机构组成。</w:t>
      </w:r>
    </w:p>
    <w:p>
      <w:pPr>
        <w:keepNext w:val="0"/>
        <w:keepLines w:val="0"/>
        <w:pageBreakBefore w:val="0"/>
        <w:widowControl w:val="0"/>
        <w:tabs>
          <w:tab w:val="left" w:pos="3885"/>
        </w:tabs>
        <w:kinsoku/>
        <w:wordWrap/>
        <w:overflowPunct/>
        <w:topLinePunct w:val="0"/>
        <w:autoSpaceDE/>
        <w:autoSpaceDN/>
        <w:bidi w:val="0"/>
        <w:adjustRightInd/>
        <w:snapToGrid w:val="0"/>
        <w:spacing w:line="500" w:lineRule="exact"/>
        <w:ind w:left="0" w:leftChars="0" w:right="0" w:rightChars="0" w:firstLine="640" w:firstLineChars="200"/>
        <w:jc w:val="both"/>
        <w:textAlignment w:val="auto"/>
        <w:outlineLvl w:val="9"/>
        <w:rPr>
          <w:rFonts w:hint="eastAsia" w:ascii="仿宋" w:hAnsi="仿宋" w:eastAsia="仿宋" w:cs="仿宋"/>
          <w:sz w:val="32"/>
          <w:szCs w:val="32"/>
          <w:lang w:val="zh-CN"/>
        </w:rPr>
      </w:pPr>
      <w:r>
        <w:rPr>
          <w:rFonts w:hint="eastAsia" w:ascii="仿宋" w:hAnsi="仿宋" w:eastAsia="仿宋" w:cs="仿宋"/>
          <w:sz w:val="32"/>
          <w:szCs w:val="32"/>
          <w:lang w:eastAsia="zh-CN"/>
        </w:rPr>
        <w:t>巴中市发展和改革委员会</w:t>
      </w:r>
      <w:r>
        <w:rPr>
          <w:rFonts w:hint="eastAsia" w:ascii="仿宋" w:hAnsi="仿宋" w:eastAsia="仿宋" w:cs="仿宋"/>
          <w:sz w:val="32"/>
          <w:szCs w:val="32"/>
        </w:rPr>
        <w:t>（以下简称“市</w:t>
      </w:r>
      <w:r>
        <w:rPr>
          <w:rFonts w:hint="eastAsia" w:ascii="仿宋" w:hAnsi="仿宋" w:eastAsia="仿宋" w:cs="仿宋"/>
          <w:sz w:val="32"/>
          <w:szCs w:val="32"/>
          <w:lang w:eastAsia="zh-CN"/>
        </w:rPr>
        <w:t>发改委</w:t>
      </w:r>
      <w:r>
        <w:rPr>
          <w:rFonts w:hint="eastAsia" w:ascii="仿宋" w:hAnsi="仿宋" w:eastAsia="仿宋" w:cs="仿宋"/>
          <w:sz w:val="32"/>
          <w:szCs w:val="32"/>
        </w:rPr>
        <w:t>”）是市财政一级预算单位，下属</w:t>
      </w:r>
      <w:r>
        <w:rPr>
          <w:rFonts w:hint="eastAsia" w:ascii="仿宋" w:hAnsi="仿宋" w:eastAsia="仿宋" w:cs="仿宋"/>
          <w:sz w:val="32"/>
          <w:szCs w:val="32"/>
          <w:lang w:val="en-US" w:eastAsia="zh-CN"/>
        </w:rPr>
        <w:t>事业</w:t>
      </w:r>
      <w:r>
        <w:rPr>
          <w:rFonts w:hint="eastAsia" w:ascii="仿宋" w:hAnsi="仿宋" w:eastAsia="仿宋" w:cs="仿宋"/>
          <w:sz w:val="32"/>
          <w:szCs w:val="32"/>
        </w:rPr>
        <w:t>单位</w:t>
      </w:r>
      <w:r>
        <w:rPr>
          <w:rFonts w:hint="eastAsia" w:ascii="仿宋" w:hAnsi="仿宋" w:eastAsia="仿宋" w:cs="仿宋"/>
          <w:sz w:val="32"/>
          <w:szCs w:val="32"/>
          <w:lang w:val="en-US" w:eastAsia="zh-CN"/>
        </w:rPr>
        <w:t>三</w:t>
      </w:r>
      <w:r>
        <w:rPr>
          <w:rFonts w:hint="eastAsia" w:ascii="仿宋" w:hAnsi="仿宋" w:eastAsia="仿宋" w:cs="仿宋"/>
          <w:sz w:val="32"/>
          <w:szCs w:val="32"/>
        </w:rPr>
        <w:t>个，分别</w:t>
      </w:r>
      <w:r>
        <w:rPr>
          <w:rFonts w:hint="eastAsia" w:ascii="仿宋" w:hAnsi="仿宋" w:eastAsia="仿宋" w:cs="仿宋"/>
          <w:sz w:val="32"/>
          <w:szCs w:val="32"/>
          <w:lang w:val="en-US" w:eastAsia="zh-CN"/>
        </w:rPr>
        <w:t>是巴中市军粮供应管理中心，巴中市</w:t>
      </w:r>
      <w:r>
        <w:rPr>
          <w:rFonts w:hint="eastAsia" w:ascii="仿宋" w:hAnsi="仿宋" w:eastAsia="仿宋" w:cs="仿宋"/>
          <w:sz w:val="32"/>
          <w:szCs w:val="32"/>
          <w:shd w:val="clear" w:color="auto" w:fill="auto"/>
          <w:lang w:val="en-US" w:eastAsia="zh-CN"/>
        </w:rPr>
        <w:t>应急物资储备中心，市粮油检测站</w:t>
      </w:r>
      <w:r>
        <w:rPr>
          <w:rFonts w:hint="eastAsia" w:ascii="仿宋" w:hAnsi="仿宋" w:eastAsia="仿宋" w:cs="仿宋"/>
          <w:sz w:val="32"/>
          <w:szCs w:val="32"/>
          <w:lang w:val="en-US" w:eastAsia="zh-CN"/>
        </w:rPr>
        <w:t>。</w:t>
      </w:r>
      <w:r>
        <w:rPr>
          <w:rFonts w:hint="eastAsia" w:ascii="仿宋" w:hAnsi="仿宋" w:eastAsia="仿宋" w:cs="仿宋"/>
          <w:color w:val="000000"/>
          <w:spacing w:val="0"/>
          <w:w w:val="100"/>
          <w:position w:val="0"/>
          <w:sz w:val="32"/>
          <w:szCs w:val="32"/>
        </w:rPr>
        <w:t>内设机构</w:t>
      </w:r>
      <w:r>
        <w:rPr>
          <w:rFonts w:hint="eastAsia" w:ascii="仿宋" w:hAnsi="仿宋" w:eastAsia="仿宋" w:cs="仿宋"/>
          <w:color w:val="000000"/>
          <w:spacing w:val="0"/>
          <w:w w:val="100"/>
          <w:position w:val="0"/>
          <w:sz w:val="32"/>
          <w:szCs w:val="32"/>
          <w:lang w:eastAsia="zh-CN"/>
        </w:rPr>
        <w:t>为</w:t>
      </w:r>
      <w:r>
        <w:rPr>
          <w:rFonts w:hint="eastAsia" w:ascii="仿宋" w:hAnsi="仿宋" w:eastAsia="仿宋" w:cs="仿宋"/>
          <w:color w:val="000000"/>
          <w:spacing w:val="0"/>
          <w:w w:val="100"/>
          <w:position w:val="0"/>
          <w:sz w:val="32"/>
          <w:szCs w:val="32"/>
        </w:rPr>
        <w:t>招标投标管理科</w:t>
      </w:r>
      <w:r>
        <w:rPr>
          <w:rFonts w:hint="eastAsia" w:ascii="仿宋" w:hAnsi="仿宋" w:eastAsia="仿宋" w:cs="仿宋"/>
          <w:sz w:val="32"/>
          <w:szCs w:val="32"/>
        </w:rPr>
        <w:t>、</w:t>
      </w:r>
      <w:r>
        <w:rPr>
          <w:rFonts w:hint="eastAsia" w:ascii="仿宋" w:hAnsi="仿宋" w:eastAsia="仿宋" w:cs="仿宋"/>
          <w:color w:val="000000"/>
          <w:spacing w:val="0"/>
          <w:w w:val="100"/>
          <w:position w:val="0"/>
          <w:sz w:val="32"/>
          <w:szCs w:val="32"/>
        </w:rPr>
        <w:t>财政金融和经济贸易科</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信用建设科</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优化国民经济综合科（市委财经委员会办公室秘书 科）</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优化能源科</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体制改革科</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区域经济科</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评估督导科（政策法规科）</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粮食和物资储备科</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价格调控和收费管理科</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铁路建设管理科</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天然气开发利用科</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财务科</w:t>
      </w:r>
      <w:r>
        <w:rPr>
          <w:rFonts w:hint="eastAsia" w:ascii="仿宋" w:hAnsi="仿宋" w:eastAsia="仿宋" w:cs="仿宋"/>
          <w:color w:val="000000"/>
          <w:spacing w:val="0"/>
          <w:w w:val="100"/>
          <w:position w:val="0"/>
          <w:sz w:val="32"/>
          <w:szCs w:val="32"/>
          <w:lang w:val="en-US" w:eastAsia="zh-CN"/>
        </w:rPr>
        <w:t>13</w:t>
      </w:r>
      <w:r>
        <w:rPr>
          <w:rFonts w:hint="eastAsia" w:ascii="仿宋" w:hAnsi="仿宋" w:eastAsia="仿宋" w:cs="仿宋"/>
          <w:sz w:val="32"/>
          <w:szCs w:val="32"/>
        </w:rPr>
        <w:t>个科室</w:t>
      </w:r>
      <w:r>
        <w:rPr>
          <w:rFonts w:hint="eastAsia" w:ascii="仿宋" w:hAnsi="仿宋" w:eastAsia="仿宋" w:cs="仿宋"/>
          <w:sz w:val="32"/>
          <w:szCs w:val="32"/>
          <w:lang w:eastAsia="zh-CN"/>
        </w:rPr>
        <w:t>；</w:t>
      </w:r>
      <w:r>
        <w:rPr>
          <w:rFonts w:hint="eastAsia" w:ascii="仿宋" w:hAnsi="仿宋" w:eastAsia="仿宋" w:cs="仿宋"/>
          <w:sz w:val="32"/>
          <w:szCs w:val="32"/>
        </w:rPr>
        <w:t>内设</w:t>
      </w:r>
      <w:r>
        <w:rPr>
          <w:rFonts w:hint="eastAsia" w:ascii="仿宋" w:hAnsi="仿宋" w:eastAsia="仿宋" w:cs="仿宋"/>
          <w:color w:val="000000"/>
          <w:spacing w:val="0"/>
          <w:w w:val="100"/>
          <w:position w:val="0"/>
          <w:sz w:val="32"/>
          <w:szCs w:val="32"/>
        </w:rPr>
        <w:t>机关党委办公室</w:t>
      </w:r>
      <w:r>
        <w:rPr>
          <w:rFonts w:hint="eastAsia" w:ascii="仿宋" w:hAnsi="仿宋" w:eastAsia="仿宋" w:cs="仿宋"/>
          <w:sz w:val="32"/>
          <w:szCs w:val="32"/>
        </w:rPr>
        <w:t>。</w:t>
      </w:r>
    </w:p>
    <w:p>
      <w:pPr>
        <w:keepNext w:val="0"/>
        <w:keepLines w:val="0"/>
        <w:pageBreakBefore w:val="0"/>
        <w:widowControl w:val="0"/>
        <w:numPr>
          <w:ilvl w:val="0"/>
          <w:numId w:val="0"/>
        </w:numPr>
        <w:kinsoku/>
        <w:wordWrap/>
        <w:overflowPunct/>
        <w:topLinePunct w:val="0"/>
        <w:autoSpaceDE/>
        <w:autoSpaceDN/>
        <w:bidi w:val="0"/>
        <w:adjustRightInd/>
        <w:spacing w:line="500" w:lineRule="exact"/>
        <w:ind w:left="0" w:leftChars="0" w:right="0" w:rightChars="0" w:firstLine="640" w:firstLineChars="200"/>
        <w:jc w:val="both"/>
        <w:textAlignment w:val="auto"/>
        <w:outlineLvl w:val="9"/>
        <w:rPr>
          <w:rFonts w:hint="eastAsia" w:ascii="仿宋" w:hAnsi="仿宋" w:eastAsia="仿宋" w:cs="仿宋"/>
          <w:sz w:val="32"/>
          <w:szCs w:val="32"/>
          <w:lang w:val="zh-CN"/>
        </w:rPr>
      </w:pPr>
      <w:r>
        <w:rPr>
          <w:rFonts w:hint="eastAsia" w:ascii="仿宋" w:hAnsi="仿宋" w:eastAsia="仿宋" w:cs="仿宋"/>
          <w:sz w:val="32"/>
          <w:szCs w:val="32"/>
          <w:lang w:val="zh-CN"/>
        </w:rPr>
        <w:t>（二）机构职能。</w:t>
      </w:r>
    </w:p>
    <w:p>
      <w:pPr>
        <w:pStyle w:val="30"/>
        <w:keepNext w:val="0"/>
        <w:keepLines w:val="0"/>
        <w:pageBreakBefore w:val="0"/>
        <w:widowControl w:val="0"/>
        <w:shd w:val="clear" w:color="auto" w:fill="auto"/>
        <w:tabs>
          <w:tab w:val="left" w:pos="1610"/>
        </w:tabs>
        <w:kinsoku/>
        <w:wordWrap/>
        <w:overflowPunct/>
        <w:topLinePunct w:val="0"/>
        <w:autoSpaceDE/>
        <w:autoSpaceDN/>
        <w:bidi w:val="0"/>
        <w:adjustRightInd/>
        <w:spacing w:line="5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zh-CN"/>
        </w:rPr>
        <w:t>1.</w:t>
      </w:r>
      <w:r>
        <w:rPr>
          <w:rFonts w:hint="eastAsia" w:ascii="仿宋" w:hAnsi="仿宋" w:eastAsia="仿宋" w:cs="仿宋"/>
          <w:color w:val="000000"/>
          <w:spacing w:val="0"/>
          <w:w w:val="100"/>
          <w:position w:val="0"/>
          <w:sz w:val="32"/>
          <w:szCs w:val="32"/>
        </w:rPr>
        <w:t>招标投标管理科。负责建设项目招标文件备案，监督招标投标活动，受理 相关投诉，协助招投标信用体系建设。</w:t>
      </w:r>
    </w:p>
    <w:p>
      <w:pPr>
        <w:pStyle w:val="30"/>
        <w:keepNext w:val="0"/>
        <w:keepLines w:val="0"/>
        <w:pageBreakBefore w:val="0"/>
        <w:widowControl w:val="0"/>
        <w:shd w:val="clear" w:color="auto" w:fill="auto"/>
        <w:tabs>
          <w:tab w:val="left" w:pos="1610"/>
        </w:tabs>
        <w:kinsoku/>
        <w:wordWrap/>
        <w:overflowPunct/>
        <w:topLinePunct w:val="0"/>
        <w:autoSpaceDE/>
        <w:autoSpaceDN/>
        <w:bidi w:val="0"/>
        <w:adjustRightInd/>
        <w:spacing w:line="5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zh-CN"/>
        </w:rPr>
        <w:t>2.</w:t>
      </w:r>
      <w:r>
        <w:rPr>
          <w:rFonts w:hint="eastAsia" w:ascii="仿宋" w:hAnsi="仿宋" w:eastAsia="仿宋" w:cs="仿宋"/>
          <w:color w:val="000000"/>
          <w:spacing w:val="0"/>
          <w:w w:val="100"/>
          <w:position w:val="0"/>
          <w:sz w:val="32"/>
          <w:szCs w:val="32"/>
        </w:rPr>
        <w:t>财政金融和经济贸易科。根据财政金融、对外贸易运行情况，提出宏观政策建议。负责企业（公司）债券、产业（股权）投资基金管理和境外资金利用、境外投资等有关工作。负责重要农产品、工业品和原材料进出口有 关工作；研究拟订现代物流业发展战略和中长期规划。</w:t>
      </w:r>
    </w:p>
    <w:p>
      <w:pPr>
        <w:pStyle w:val="30"/>
        <w:keepNext w:val="0"/>
        <w:keepLines w:val="0"/>
        <w:pageBreakBefore w:val="0"/>
        <w:widowControl w:val="0"/>
        <w:shd w:val="clear" w:color="auto" w:fill="auto"/>
        <w:tabs>
          <w:tab w:val="left" w:pos="1610"/>
        </w:tabs>
        <w:kinsoku/>
        <w:wordWrap/>
        <w:overflowPunct/>
        <w:topLinePunct w:val="0"/>
        <w:autoSpaceDE/>
        <w:autoSpaceDN/>
        <w:bidi w:val="0"/>
        <w:adjustRightInd/>
        <w:spacing w:line="5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zh-CN"/>
        </w:rPr>
        <w:t>3.</w:t>
      </w:r>
      <w:r>
        <w:rPr>
          <w:rFonts w:hint="eastAsia" w:ascii="仿宋" w:hAnsi="仿宋" w:eastAsia="仿宋" w:cs="仿宋"/>
          <w:color w:val="000000"/>
          <w:spacing w:val="0"/>
          <w:w w:val="100"/>
          <w:position w:val="0"/>
          <w:sz w:val="32"/>
          <w:szCs w:val="32"/>
        </w:rPr>
        <w:t>信用建设科。拟订社会信用体系 建设中长期规划和年度计划，会同有关部门推进社会信用体系 建设，负责市级社会信用信息平台业务管理，组织实施跨部门</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跨地区联合信用奖惩。承担市社会信用体系建设领导小组办公室日常工作。</w:t>
      </w:r>
    </w:p>
    <w:p>
      <w:pPr>
        <w:pStyle w:val="30"/>
        <w:keepNext w:val="0"/>
        <w:keepLines w:val="0"/>
        <w:pageBreakBefore w:val="0"/>
        <w:widowControl w:val="0"/>
        <w:shd w:val="clear" w:color="auto" w:fill="auto"/>
        <w:tabs>
          <w:tab w:val="left" w:pos="1610"/>
        </w:tabs>
        <w:kinsoku/>
        <w:wordWrap/>
        <w:overflowPunct/>
        <w:topLinePunct w:val="0"/>
        <w:autoSpaceDE/>
        <w:autoSpaceDN/>
        <w:bidi w:val="0"/>
        <w:adjustRightInd/>
        <w:spacing w:line="5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zh-CN"/>
        </w:rPr>
        <w:t>4.</w:t>
      </w:r>
      <w:r>
        <w:rPr>
          <w:rFonts w:hint="eastAsia" w:ascii="仿宋" w:hAnsi="仿宋" w:eastAsia="仿宋" w:cs="仿宋"/>
          <w:color w:val="000000"/>
          <w:spacing w:val="0"/>
          <w:w w:val="100"/>
          <w:position w:val="0"/>
          <w:sz w:val="32"/>
          <w:szCs w:val="32"/>
        </w:rPr>
        <w:t>优化国民经济综合科（市委财经委员会办公室秘书科）职责。研究拟订经济社会发展战略、经济结构、生产力布局调整政策及国民经济和社会发展年度计划，监测分析宏观经 济形势。负责统一规划体系建设工作，统筹规划编制立项，统筹各类专项规划、区域规划、空间规划与发展规划。承担市委财经委员会办公室日常工作。</w:t>
      </w:r>
    </w:p>
    <w:p>
      <w:pPr>
        <w:pStyle w:val="30"/>
        <w:keepNext w:val="0"/>
        <w:keepLines w:val="0"/>
        <w:pageBreakBefore w:val="0"/>
        <w:widowControl w:val="0"/>
        <w:shd w:val="clear" w:color="auto" w:fill="auto"/>
        <w:tabs>
          <w:tab w:val="left" w:pos="1595"/>
        </w:tabs>
        <w:kinsoku/>
        <w:wordWrap/>
        <w:overflowPunct/>
        <w:topLinePunct w:val="0"/>
        <w:autoSpaceDE/>
        <w:autoSpaceDN/>
        <w:bidi w:val="0"/>
        <w:adjustRightInd/>
        <w:spacing w:line="5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zh-CN"/>
        </w:rPr>
        <w:t>5.</w:t>
      </w:r>
      <w:r>
        <w:rPr>
          <w:rFonts w:hint="eastAsia" w:ascii="仿宋" w:hAnsi="仿宋" w:eastAsia="仿宋" w:cs="仿宋"/>
          <w:color w:val="000000"/>
          <w:spacing w:val="0"/>
          <w:w w:val="100"/>
          <w:position w:val="0"/>
          <w:sz w:val="32"/>
          <w:szCs w:val="32"/>
        </w:rPr>
        <w:t>优化能源科职责。研究拟订能源发展战略，起草能 源发展、能源资源节约和综合利用、循环经济政策规划，提出能 源消费控制目标。负责统筹规划、综合平衡能源建设和重大项目布局，审核能源固定资产投资项目。承担市能源办日常工作。</w:t>
      </w:r>
    </w:p>
    <w:p>
      <w:pPr>
        <w:pStyle w:val="30"/>
        <w:keepNext w:val="0"/>
        <w:keepLines w:val="0"/>
        <w:pageBreakBefore w:val="0"/>
        <w:widowControl w:val="0"/>
        <w:shd w:val="clear" w:color="auto" w:fill="auto"/>
        <w:tabs>
          <w:tab w:val="left" w:pos="1595"/>
        </w:tabs>
        <w:kinsoku/>
        <w:wordWrap/>
        <w:overflowPunct/>
        <w:topLinePunct w:val="0"/>
        <w:autoSpaceDE/>
        <w:autoSpaceDN/>
        <w:bidi w:val="0"/>
        <w:adjustRightInd/>
        <w:spacing w:line="5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zh-CN"/>
        </w:rPr>
        <w:t>6.</w:t>
      </w:r>
      <w:r>
        <w:rPr>
          <w:rFonts w:hint="eastAsia" w:ascii="仿宋" w:hAnsi="仿宋" w:eastAsia="仿宋" w:cs="仿宋"/>
          <w:color w:val="000000"/>
          <w:spacing w:val="0"/>
          <w:w w:val="100"/>
          <w:position w:val="0"/>
          <w:sz w:val="32"/>
          <w:szCs w:val="32"/>
        </w:rPr>
        <w:t>体制改革科。指导经济体制改革、全面创新改革及经济体制改革试点和改革试验区工作。拟订综合性经济体制改革方案。负责推进要素市场化配置改革，组织实施市场准入负面清单制度。协调解决经济体制改革和全面创新改革进程中的重大问题。</w:t>
      </w:r>
    </w:p>
    <w:p>
      <w:pPr>
        <w:pStyle w:val="30"/>
        <w:keepNext w:val="0"/>
        <w:keepLines w:val="0"/>
        <w:pageBreakBefore w:val="0"/>
        <w:widowControl w:val="0"/>
        <w:shd w:val="clear" w:color="auto" w:fill="auto"/>
        <w:tabs>
          <w:tab w:val="left" w:pos="1595"/>
        </w:tabs>
        <w:kinsoku/>
        <w:wordWrap/>
        <w:overflowPunct/>
        <w:topLinePunct w:val="0"/>
        <w:autoSpaceDE/>
        <w:autoSpaceDN/>
        <w:bidi w:val="0"/>
        <w:adjustRightInd/>
        <w:spacing w:line="5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zh-CN"/>
        </w:rPr>
        <w:t>7.</w:t>
      </w:r>
      <w:r>
        <w:rPr>
          <w:rFonts w:hint="eastAsia" w:ascii="仿宋" w:hAnsi="仿宋" w:eastAsia="仿宋" w:cs="仿宋"/>
          <w:color w:val="000000"/>
          <w:spacing w:val="0"/>
          <w:w w:val="100"/>
          <w:position w:val="0"/>
          <w:sz w:val="32"/>
          <w:szCs w:val="32"/>
        </w:rPr>
        <w:t xml:space="preserve">区域经济科。拟订区域经济发展规划和重大政策。指导县域经济发展。参与制订土地政策。指导地区经济协作，研究区域合作的重大问题。承担川东北经济区、东西部扶 贫协作及区域间友好交流合作工作。 </w:t>
      </w:r>
      <w:r>
        <w:rPr>
          <w:rFonts w:hint="eastAsia" w:ascii="仿宋" w:hAnsi="仿宋" w:eastAsia="仿宋" w:cs="仿宋"/>
          <w:color w:val="000000"/>
          <w:spacing w:val="0"/>
          <w:w w:val="100"/>
          <w:position w:val="0"/>
          <w:sz w:val="32"/>
          <w:szCs w:val="32"/>
          <w:lang w:val="en-US" w:eastAsia="en-US" w:bidi="en-US"/>
        </w:rPr>
        <w:t>,</w:t>
      </w:r>
    </w:p>
    <w:p>
      <w:pPr>
        <w:pStyle w:val="30"/>
        <w:keepNext w:val="0"/>
        <w:keepLines w:val="0"/>
        <w:pageBreakBefore w:val="0"/>
        <w:widowControl w:val="0"/>
        <w:shd w:val="clear" w:color="auto" w:fill="auto"/>
        <w:tabs>
          <w:tab w:val="left" w:pos="1595"/>
        </w:tabs>
        <w:kinsoku/>
        <w:wordWrap/>
        <w:overflowPunct/>
        <w:topLinePunct w:val="0"/>
        <w:autoSpaceDE/>
        <w:autoSpaceDN/>
        <w:bidi w:val="0"/>
        <w:adjustRightInd/>
        <w:spacing w:line="5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zh-CN"/>
        </w:rPr>
        <w:t>8.</w:t>
      </w:r>
      <w:r>
        <w:rPr>
          <w:rFonts w:hint="eastAsia" w:ascii="仿宋" w:hAnsi="仿宋" w:eastAsia="仿宋" w:cs="仿宋"/>
          <w:color w:val="000000"/>
          <w:spacing w:val="0"/>
          <w:w w:val="100"/>
          <w:position w:val="0"/>
          <w:sz w:val="32"/>
          <w:szCs w:val="32"/>
        </w:rPr>
        <w:t>评估督导科（政策法规科）。拟订相关重大战略规划、重大政策、重大工程等评估督导制度、方案。负责督导国家和省、市有关发展改革重大决策部署执行情况。组织对国家和省</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市重点项目，中央和省预算内投资以及有关重点领域项目实施情况开展评估督导。</w:t>
      </w:r>
    </w:p>
    <w:p>
      <w:pPr>
        <w:pStyle w:val="30"/>
        <w:keepNext w:val="0"/>
        <w:keepLines w:val="0"/>
        <w:pageBreakBefore w:val="0"/>
        <w:widowControl w:val="0"/>
        <w:shd w:val="clear" w:color="auto" w:fill="auto"/>
        <w:tabs>
          <w:tab w:val="left" w:pos="1595"/>
        </w:tabs>
        <w:kinsoku/>
        <w:wordWrap/>
        <w:overflowPunct/>
        <w:topLinePunct w:val="0"/>
        <w:autoSpaceDE/>
        <w:autoSpaceDN/>
        <w:bidi w:val="0"/>
        <w:adjustRightInd/>
        <w:spacing w:line="5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zh-CN"/>
        </w:rPr>
        <w:t>9.</w:t>
      </w:r>
      <w:r>
        <w:rPr>
          <w:rFonts w:hint="eastAsia" w:ascii="仿宋" w:hAnsi="仿宋" w:eastAsia="仿宋" w:cs="仿宋"/>
          <w:color w:val="000000"/>
          <w:spacing w:val="0"/>
          <w:w w:val="100"/>
          <w:position w:val="0"/>
          <w:sz w:val="32"/>
          <w:szCs w:val="32"/>
        </w:rPr>
        <w:t>粮食和物资储备科。拟订全市粮食和物资储备发展战略、规划，并组织实施。负责粮食和物资储备统计工作和现代物流体系建设。承担全市粮食流通和物资储备体制改革工作。承担所属粮食和物资储备单位安全储存和安全生产的监督检查工作。承担粮食安全责任制和食品安全考核工作。</w:t>
      </w:r>
    </w:p>
    <w:p>
      <w:pPr>
        <w:pStyle w:val="30"/>
        <w:keepNext w:val="0"/>
        <w:keepLines w:val="0"/>
        <w:pageBreakBefore w:val="0"/>
        <w:widowControl w:val="0"/>
        <w:shd w:val="clear" w:color="auto" w:fill="auto"/>
        <w:kinsoku/>
        <w:wordWrap/>
        <w:overflowPunct/>
        <w:topLinePunct w:val="0"/>
        <w:autoSpaceDE/>
        <w:autoSpaceDN/>
        <w:bidi w:val="0"/>
        <w:adjustRightInd/>
        <w:spacing w:line="5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zh-CN"/>
        </w:rPr>
        <w:t>10.</w:t>
      </w:r>
      <w:r>
        <w:rPr>
          <w:rFonts w:hint="eastAsia" w:ascii="仿宋" w:hAnsi="仿宋" w:eastAsia="仿宋" w:cs="仿宋"/>
          <w:color w:val="000000"/>
          <w:spacing w:val="0"/>
          <w:w w:val="100"/>
          <w:position w:val="0"/>
          <w:sz w:val="32"/>
          <w:szCs w:val="32"/>
        </w:rPr>
        <w:t>价格调控和收费管理科。拟订价格调整改革规划、年度居民消费价格总水平调控目标、地方定价目录、价格听证目录和价格成本监审目录。负责组织价格听证工作。承担市场价格监测预警和实施临时价格干预工作。负责重点行业、重要农产品、重要商品和服务的成本监审。负责行政事业性收费项目和标准审定工作。</w:t>
      </w:r>
    </w:p>
    <w:p>
      <w:pPr>
        <w:pStyle w:val="30"/>
        <w:keepNext w:val="0"/>
        <w:keepLines w:val="0"/>
        <w:pageBreakBefore w:val="0"/>
        <w:widowControl w:val="0"/>
        <w:shd w:val="clear" w:color="auto" w:fill="auto"/>
        <w:kinsoku/>
        <w:wordWrap/>
        <w:overflowPunct/>
        <w:topLinePunct w:val="0"/>
        <w:autoSpaceDE/>
        <w:autoSpaceDN/>
        <w:bidi w:val="0"/>
        <w:adjustRightInd/>
        <w:spacing w:line="5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zh-CN"/>
        </w:rPr>
        <w:t>11.</w:t>
      </w:r>
      <w:r>
        <w:rPr>
          <w:rFonts w:hint="eastAsia" w:ascii="仿宋" w:hAnsi="仿宋" w:eastAsia="仿宋" w:cs="仿宋"/>
          <w:color w:val="000000"/>
          <w:spacing w:val="0"/>
          <w:w w:val="100"/>
          <w:position w:val="0"/>
          <w:sz w:val="32"/>
          <w:szCs w:val="32"/>
        </w:rPr>
        <w:t>铁路建设管理科</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拟订全市铁路发展规划和年度计划。负责争取政策资金支持及建设资金筹措管理。组织协调全市铁路建设项目申报立项、勘测设计、专题评估等前期工作，协调解决铁路项目建设征地拆迁等具体事宜。配合做好铁路运输工作。</w:t>
      </w:r>
    </w:p>
    <w:p>
      <w:pPr>
        <w:pStyle w:val="30"/>
        <w:keepNext w:val="0"/>
        <w:keepLines w:val="0"/>
        <w:pageBreakBefore w:val="0"/>
        <w:widowControl w:val="0"/>
        <w:shd w:val="clear" w:color="auto" w:fill="auto"/>
        <w:kinsoku/>
        <w:wordWrap/>
        <w:overflowPunct/>
        <w:topLinePunct w:val="0"/>
        <w:autoSpaceDE/>
        <w:autoSpaceDN/>
        <w:bidi w:val="0"/>
        <w:adjustRightInd/>
        <w:spacing w:line="5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color w:val="000000"/>
          <w:spacing w:val="0"/>
          <w:w w:val="100"/>
          <w:position w:val="0"/>
          <w:sz w:val="32"/>
          <w:szCs w:val="32"/>
          <w:lang w:val="en-US" w:eastAsia="zh-CN"/>
        </w:rPr>
        <w:t>12.</w:t>
      </w:r>
      <w:r>
        <w:rPr>
          <w:rFonts w:hint="eastAsia" w:ascii="仿宋" w:hAnsi="仿宋" w:eastAsia="仿宋" w:cs="仿宋"/>
          <w:color w:val="000000"/>
          <w:spacing w:val="0"/>
          <w:w w:val="100"/>
          <w:position w:val="0"/>
          <w:sz w:val="32"/>
          <w:szCs w:val="32"/>
        </w:rPr>
        <w:t>天然气开发利用科。负责统筹做好全市天然气产供储销体系建设，拟订天然气承接转化政策措施和天然气利用规划，统筹全市天然气利用，参与拟订加气站</w:t>
      </w:r>
      <w:r>
        <w:rPr>
          <w:rFonts w:hint="eastAsia" w:ascii="仿宋" w:hAnsi="仿宋" w:eastAsia="仿宋" w:cs="仿宋"/>
          <w:b/>
          <w:bCs/>
          <w:color w:val="000000"/>
          <w:spacing w:val="0"/>
          <w:w w:val="100"/>
          <w:position w:val="0"/>
          <w:sz w:val="32"/>
          <w:szCs w:val="32"/>
          <w:lang w:val="en-US" w:eastAsia="en-US" w:bidi="en-US"/>
        </w:rPr>
        <w:t>（LNG</w:t>
      </w:r>
      <w:r>
        <w:rPr>
          <w:rFonts w:hint="eastAsia" w:ascii="仿宋" w:hAnsi="仿宋" w:eastAsia="仿宋" w:cs="仿宋"/>
          <w:color w:val="000000"/>
          <w:spacing w:val="0"/>
          <w:w w:val="100"/>
          <w:position w:val="0"/>
          <w:sz w:val="32"/>
          <w:szCs w:val="32"/>
        </w:rPr>
        <w:t>加注站）布局规划，制订应急保障预案。负责加强油气输送管道建设管理，指导督促油气输送管道企业落实安全生产主体责任。</w:t>
      </w:r>
    </w:p>
    <w:p>
      <w:pPr>
        <w:pStyle w:val="30"/>
        <w:keepNext w:val="0"/>
        <w:keepLines w:val="0"/>
        <w:pageBreakBefore w:val="0"/>
        <w:widowControl w:val="0"/>
        <w:shd w:val="clear" w:color="auto" w:fill="auto"/>
        <w:kinsoku/>
        <w:wordWrap/>
        <w:overflowPunct/>
        <w:topLinePunct w:val="0"/>
        <w:autoSpaceDE/>
        <w:autoSpaceDN/>
        <w:bidi w:val="0"/>
        <w:adjustRightInd/>
        <w:spacing w:line="500" w:lineRule="exact"/>
        <w:ind w:left="0" w:leftChars="0" w:right="0" w:rightChars="0" w:firstLine="640" w:firstLineChars="200"/>
        <w:jc w:val="both"/>
        <w:textAlignment w:val="auto"/>
        <w:outlineLvl w:val="9"/>
        <w:rPr>
          <w:rFonts w:hint="eastAsia" w:ascii="仿宋" w:hAnsi="仿宋" w:eastAsia="仿宋" w:cs="仿宋"/>
          <w:color w:val="000000"/>
          <w:spacing w:val="0"/>
          <w:w w:val="100"/>
          <w:position w:val="0"/>
          <w:sz w:val="32"/>
          <w:szCs w:val="32"/>
        </w:rPr>
      </w:pPr>
      <w:r>
        <w:rPr>
          <w:rFonts w:hint="eastAsia" w:ascii="仿宋" w:hAnsi="仿宋" w:eastAsia="仿宋" w:cs="仿宋"/>
          <w:color w:val="000000"/>
          <w:spacing w:val="0"/>
          <w:w w:val="100"/>
          <w:position w:val="0"/>
          <w:sz w:val="32"/>
          <w:szCs w:val="32"/>
          <w:lang w:val="en-US" w:eastAsia="zh-CN"/>
        </w:rPr>
        <w:t>13.</w:t>
      </w:r>
      <w:r>
        <w:rPr>
          <w:rFonts w:hint="eastAsia" w:ascii="仿宋" w:hAnsi="仿宋" w:eastAsia="仿宋" w:cs="仿宋"/>
          <w:color w:val="000000"/>
          <w:spacing w:val="0"/>
          <w:w w:val="100"/>
          <w:position w:val="0"/>
          <w:sz w:val="32"/>
          <w:szCs w:val="32"/>
        </w:rPr>
        <w:t>财务科。负责机关预决算编制、预算执行及财政资金绩效考评等财务工作。负责国有资产监督管理、政府采购、国库集中支付工作。负责中央、省、市财政专项资金及重大项目前期工作经费等使用管理、绩效评估、监督检查。负责指导监督管理所属单位预决算、国有资产</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政府采购等工作。</w:t>
      </w:r>
    </w:p>
    <w:p>
      <w:pPr>
        <w:pStyle w:val="30"/>
        <w:keepNext w:val="0"/>
        <w:keepLines w:val="0"/>
        <w:pageBreakBefore w:val="0"/>
        <w:widowControl w:val="0"/>
        <w:shd w:val="clear" w:color="auto" w:fill="auto"/>
        <w:kinsoku/>
        <w:wordWrap/>
        <w:overflowPunct/>
        <w:topLinePunct w:val="0"/>
        <w:autoSpaceDE/>
        <w:autoSpaceDN/>
        <w:bidi w:val="0"/>
        <w:adjustRightInd/>
        <w:spacing w:line="500" w:lineRule="exact"/>
        <w:ind w:left="0" w:leftChars="0" w:right="0" w:rightChars="0" w:firstLine="640" w:firstLineChars="200"/>
        <w:jc w:val="both"/>
        <w:textAlignment w:val="auto"/>
        <w:outlineLvl w:val="9"/>
        <w:rPr>
          <w:rFonts w:hint="eastAsia" w:ascii="仿宋" w:hAnsi="仿宋" w:eastAsia="仿宋" w:cs="仿宋"/>
          <w:sz w:val="32"/>
          <w:szCs w:val="32"/>
          <w:lang w:val="zh-CN"/>
        </w:rPr>
      </w:pPr>
      <w:r>
        <w:rPr>
          <w:rFonts w:hint="eastAsia" w:ascii="仿宋" w:hAnsi="仿宋" w:eastAsia="仿宋" w:cs="仿宋"/>
          <w:color w:val="000000"/>
          <w:spacing w:val="0"/>
          <w:w w:val="100"/>
          <w:position w:val="0"/>
          <w:sz w:val="32"/>
          <w:szCs w:val="32"/>
          <w:lang w:val="en-US" w:eastAsia="zh-CN"/>
        </w:rPr>
        <w:t>14.</w:t>
      </w:r>
      <w:r>
        <w:rPr>
          <w:rFonts w:hint="eastAsia" w:ascii="仿宋" w:hAnsi="仿宋" w:eastAsia="仿宋" w:cs="仿宋"/>
          <w:color w:val="000000"/>
          <w:spacing w:val="0"/>
          <w:w w:val="100"/>
          <w:position w:val="0"/>
          <w:sz w:val="32"/>
          <w:szCs w:val="32"/>
        </w:rPr>
        <w:t>市发展和改革委员会设立机关党委办公室，负责机关党委 日常具体工作。</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jc w:val="both"/>
        <w:textAlignment w:val="auto"/>
        <w:outlineLvl w:val="9"/>
        <w:rPr>
          <w:rFonts w:hint="eastAsia" w:ascii="仿宋" w:hAnsi="仿宋" w:eastAsia="仿宋" w:cs="仿宋"/>
          <w:sz w:val="32"/>
          <w:szCs w:val="32"/>
          <w:lang w:val="zh-CN"/>
        </w:rPr>
      </w:pPr>
      <w:r>
        <w:rPr>
          <w:rFonts w:hint="eastAsia" w:ascii="仿宋" w:hAnsi="仿宋" w:eastAsia="仿宋" w:cs="仿宋"/>
          <w:sz w:val="32"/>
          <w:szCs w:val="32"/>
          <w:lang w:val="zh-CN"/>
        </w:rPr>
        <w:t>（三）人员概况。</w:t>
      </w:r>
    </w:p>
    <w:p>
      <w:pPr>
        <w:keepNext w:val="0"/>
        <w:keepLines w:val="0"/>
        <w:pageBreakBefore w:val="0"/>
        <w:widowControl w:val="0"/>
        <w:tabs>
          <w:tab w:val="left" w:pos="3885"/>
        </w:tabs>
        <w:kinsoku/>
        <w:wordWrap/>
        <w:overflowPunct/>
        <w:topLinePunct w:val="0"/>
        <w:autoSpaceDE/>
        <w:autoSpaceDN/>
        <w:bidi w:val="0"/>
        <w:adjustRightInd/>
        <w:snapToGrid w:val="0"/>
        <w:spacing w:line="500" w:lineRule="exact"/>
        <w:ind w:left="0" w:leftChars="0" w:right="0" w:rightChars="0" w:firstLine="640" w:firstLineChars="200"/>
        <w:jc w:val="both"/>
        <w:textAlignment w:val="auto"/>
        <w:outlineLvl w:val="9"/>
        <w:rPr>
          <w:rFonts w:hint="eastAsia" w:ascii="仿宋" w:hAnsi="仿宋" w:eastAsia="仿宋" w:cs="仿宋"/>
          <w:color w:val="auto"/>
          <w:sz w:val="32"/>
          <w:szCs w:val="32"/>
          <w:shd w:val="clear" w:color="auto" w:fill="auto"/>
        </w:rPr>
      </w:pPr>
      <w:r>
        <w:rPr>
          <w:rFonts w:hint="eastAsia" w:ascii="仿宋" w:hAnsi="仿宋" w:eastAsia="仿宋" w:cs="仿宋"/>
          <w:sz w:val="32"/>
          <w:szCs w:val="32"/>
          <w:lang w:val="en-US" w:eastAsia="zh-CN"/>
        </w:rPr>
        <w:t>1.</w:t>
      </w:r>
      <w:r>
        <w:rPr>
          <w:rFonts w:hint="eastAsia" w:ascii="仿宋" w:hAnsi="仿宋" w:eastAsia="仿宋" w:cs="仿宋"/>
          <w:sz w:val="32"/>
          <w:szCs w:val="32"/>
        </w:rPr>
        <w:t>根据市</w:t>
      </w:r>
      <w:r>
        <w:rPr>
          <w:rFonts w:hint="eastAsia" w:ascii="仿宋" w:hAnsi="仿宋" w:eastAsia="仿宋" w:cs="仿宋"/>
          <w:sz w:val="32"/>
          <w:szCs w:val="32"/>
          <w:lang w:eastAsia="zh-CN"/>
        </w:rPr>
        <w:t>发改委</w:t>
      </w:r>
      <w:r>
        <w:rPr>
          <w:rFonts w:hint="eastAsia" w:ascii="仿宋" w:hAnsi="仿宋" w:eastAsia="仿宋" w:cs="仿宋"/>
          <w:sz w:val="32"/>
          <w:szCs w:val="32"/>
        </w:rPr>
        <w:t>决算报表，20</w:t>
      </w:r>
      <w:r>
        <w:rPr>
          <w:rFonts w:hint="eastAsia" w:ascii="仿宋" w:hAnsi="仿宋" w:eastAsia="仿宋" w:cs="仿宋"/>
          <w:sz w:val="32"/>
          <w:szCs w:val="32"/>
          <w:lang w:val="en-US" w:eastAsia="zh-CN"/>
        </w:rPr>
        <w:t>21</w:t>
      </w:r>
      <w:r>
        <w:rPr>
          <w:rFonts w:hint="eastAsia" w:ascii="仿宋" w:hAnsi="仿宋" w:eastAsia="仿宋" w:cs="仿宋"/>
          <w:sz w:val="32"/>
          <w:szCs w:val="32"/>
        </w:rPr>
        <w:t>年在职人员编制数</w:t>
      </w:r>
      <w:r>
        <w:rPr>
          <w:rFonts w:hint="eastAsia" w:ascii="仿宋" w:hAnsi="仿宋" w:eastAsia="仿宋" w:cs="仿宋"/>
          <w:sz w:val="32"/>
          <w:szCs w:val="32"/>
          <w:lang w:val="en-US" w:eastAsia="zh-CN"/>
        </w:rPr>
        <w:t>69</w:t>
      </w:r>
      <w:r>
        <w:rPr>
          <w:rFonts w:hint="eastAsia" w:ascii="仿宋" w:hAnsi="仿宋" w:eastAsia="仿宋" w:cs="仿宋"/>
          <w:sz w:val="32"/>
          <w:szCs w:val="32"/>
        </w:rPr>
        <w:t>人，其中行政编制</w:t>
      </w:r>
      <w:r>
        <w:rPr>
          <w:rFonts w:hint="eastAsia" w:ascii="仿宋" w:hAnsi="仿宋" w:eastAsia="仿宋" w:cs="仿宋"/>
          <w:sz w:val="32"/>
          <w:szCs w:val="32"/>
          <w:lang w:val="en-US" w:eastAsia="zh-CN"/>
        </w:rPr>
        <w:t>56</w:t>
      </w:r>
      <w:r>
        <w:rPr>
          <w:rFonts w:hint="eastAsia" w:ascii="仿宋" w:hAnsi="仿宋" w:eastAsia="仿宋" w:cs="仿宋"/>
          <w:sz w:val="32"/>
          <w:szCs w:val="32"/>
        </w:rPr>
        <w:t>人（含工勤人员</w:t>
      </w:r>
      <w:r>
        <w:rPr>
          <w:rFonts w:hint="eastAsia" w:ascii="仿宋" w:hAnsi="仿宋" w:eastAsia="仿宋" w:cs="仿宋"/>
          <w:sz w:val="32"/>
          <w:szCs w:val="32"/>
          <w:lang w:val="en-US" w:eastAsia="zh-CN"/>
        </w:rPr>
        <w:t>7</w:t>
      </w:r>
      <w:r>
        <w:rPr>
          <w:rFonts w:hint="eastAsia" w:ascii="仿宋" w:hAnsi="仿宋" w:eastAsia="仿宋" w:cs="仿宋"/>
          <w:sz w:val="32"/>
          <w:szCs w:val="32"/>
        </w:rPr>
        <w:t>人），事业编制1</w:t>
      </w:r>
      <w:r>
        <w:rPr>
          <w:rFonts w:hint="eastAsia" w:ascii="仿宋" w:hAnsi="仿宋" w:eastAsia="仿宋" w:cs="仿宋"/>
          <w:sz w:val="32"/>
          <w:szCs w:val="32"/>
          <w:lang w:val="en-US" w:eastAsia="zh-CN"/>
        </w:rPr>
        <w:t>3</w:t>
      </w:r>
      <w:r>
        <w:rPr>
          <w:rFonts w:hint="eastAsia" w:ascii="仿宋" w:hAnsi="仿宋" w:eastAsia="仿宋" w:cs="仿宋"/>
          <w:sz w:val="32"/>
          <w:szCs w:val="32"/>
        </w:rPr>
        <w:t>人（参照公务员法管理人员</w:t>
      </w:r>
      <w:r>
        <w:rPr>
          <w:rFonts w:hint="eastAsia" w:ascii="仿宋" w:hAnsi="仿宋" w:eastAsia="仿宋" w:cs="仿宋"/>
          <w:sz w:val="32"/>
          <w:szCs w:val="32"/>
          <w:lang w:val="en-US" w:eastAsia="zh-CN"/>
        </w:rPr>
        <w:t>4</w:t>
      </w:r>
      <w:r>
        <w:rPr>
          <w:rFonts w:hint="eastAsia" w:ascii="仿宋" w:hAnsi="仿宋" w:eastAsia="仿宋" w:cs="仿宋"/>
          <w:sz w:val="32"/>
          <w:szCs w:val="32"/>
        </w:rPr>
        <w:t>人，</w:t>
      </w:r>
      <w:r>
        <w:rPr>
          <w:rFonts w:hint="eastAsia" w:ascii="仿宋" w:hAnsi="仿宋" w:eastAsia="仿宋" w:cs="仿宋"/>
          <w:sz w:val="32"/>
          <w:szCs w:val="32"/>
          <w:lang w:eastAsia="zh-CN"/>
        </w:rPr>
        <w:t>事业专技人员</w:t>
      </w:r>
      <w:r>
        <w:rPr>
          <w:rFonts w:hint="eastAsia" w:ascii="仿宋" w:hAnsi="仿宋" w:eastAsia="仿宋" w:cs="仿宋"/>
          <w:sz w:val="32"/>
          <w:szCs w:val="32"/>
        </w:rPr>
        <w:t>1人）</w:t>
      </w:r>
      <w:r>
        <w:rPr>
          <w:rFonts w:hint="eastAsia" w:ascii="仿宋" w:hAnsi="仿宋" w:eastAsia="仿宋" w:cs="仿宋"/>
          <w:sz w:val="32"/>
          <w:szCs w:val="32"/>
          <w:shd w:val="clear" w:color="auto" w:fill="auto"/>
        </w:rPr>
        <w:t>；</w:t>
      </w:r>
      <w:r>
        <w:rPr>
          <w:rFonts w:hint="eastAsia" w:ascii="仿宋" w:hAnsi="仿宋" w:eastAsia="仿宋" w:cs="仿宋"/>
          <w:color w:val="auto"/>
          <w:sz w:val="32"/>
          <w:szCs w:val="32"/>
          <w:shd w:val="clear" w:color="auto" w:fill="auto"/>
        </w:rPr>
        <w:t>期末在编实有人数43人，其中行政编制31人（含工勤人员3人），事业编制12人（参照公务员法管理人员1人，财政补助人员11人）。编制外其他人员9人。</w:t>
      </w:r>
    </w:p>
    <w:p>
      <w:pPr>
        <w:keepNext w:val="0"/>
        <w:keepLines w:val="0"/>
        <w:pageBreakBefore w:val="0"/>
        <w:widowControl w:val="0"/>
        <w:tabs>
          <w:tab w:val="left" w:pos="3885"/>
        </w:tabs>
        <w:kinsoku/>
        <w:wordWrap/>
        <w:overflowPunct/>
        <w:topLinePunct w:val="0"/>
        <w:autoSpaceDE/>
        <w:autoSpaceDN/>
        <w:bidi w:val="0"/>
        <w:adjustRightInd/>
        <w:snapToGrid w:val="0"/>
        <w:spacing w:line="5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color w:val="auto"/>
          <w:sz w:val="32"/>
          <w:szCs w:val="32"/>
          <w:shd w:val="clear" w:color="auto" w:fill="auto"/>
          <w:lang w:val="en-US" w:eastAsia="zh-CN"/>
        </w:rPr>
        <w:t>2.根据</w:t>
      </w:r>
      <w:r>
        <w:rPr>
          <w:rFonts w:hint="eastAsia" w:ascii="仿宋" w:hAnsi="仿宋" w:eastAsia="仿宋" w:cs="仿宋"/>
          <w:sz w:val="32"/>
          <w:szCs w:val="32"/>
          <w:lang w:val="en-US" w:eastAsia="zh-CN"/>
        </w:rPr>
        <w:t>巴中市军粮供应管理中心决算报表，2021年在职人员编制数10人，均为事业编制；实际在编人员10人。</w:t>
      </w:r>
    </w:p>
    <w:p>
      <w:pPr>
        <w:keepNext w:val="0"/>
        <w:keepLines w:val="0"/>
        <w:pageBreakBefore w:val="0"/>
        <w:widowControl w:val="0"/>
        <w:tabs>
          <w:tab w:val="left" w:pos="3885"/>
        </w:tabs>
        <w:kinsoku/>
        <w:wordWrap/>
        <w:overflowPunct/>
        <w:topLinePunct w:val="0"/>
        <w:autoSpaceDE/>
        <w:autoSpaceDN/>
        <w:bidi w:val="0"/>
        <w:adjustRightInd/>
        <w:snapToGrid w:val="0"/>
        <w:spacing w:line="5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3.根据巴中市应急物资储备中心决算报表，2021年在职人员编制数33人，均为事业编制；实际在编人员33人。</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4.根据市粮食质量监测站决算报表，2021年在职人员编制数10人，均为事业编制；实际在编人员10人。</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二、部门财政资金收支情况</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jc w:val="both"/>
        <w:textAlignment w:val="auto"/>
        <w:outlineLvl w:val="9"/>
        <w:rPr>
          <w:rFonts w:hint="eastAsia" w:ascii="仿宋" w:hAnsi="仿宋" w:eastAsia="仿宋" w:cs="仿宋"/>
          <w:sz w:val="32"/>
          <w:szCs w:val="32"/>
          <w:lang w:val="zh-CN"/>
        </w:rPr>
      </w:pPr>
      <w:r>
        <w:rPr>
          <w:rFonts w:hint="eastAsia" w:ascii="仿宋" w:hAnsi="仿宋" w:eastAsia="仿宋" w:cs="仿宋"/>
          <w:sz w:val="32"/>
          <w:szCs w:val="32"/>
          <w:lang w:val="zh-CN"/>
        </w:rPr>
        <w:t>（一）部门财政资金收入情况。</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contextualSpacing/>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根据市</w:t>
      </w:r>
      <w:r>
        <w:rPr>
          <w:rFonts w:hint="eastAsia" w:ascii="仿宋" w:hAnsi="仿宋" w:eastAsia="仿宋" w:cs="仿宋"/>
          <w:sz w:val="32"/>
          <w:szCs w:val="32"/>
          <w:lang w:eastAsia="zh-CN"/>
        </w:rPr>
        <w:t>发改委</w:t>
      </w:r>
      <w:r>
        <w:rPr>
          <w:rFonts w:hint="eastAsia" w:ascii="仿宋" w:hAnsi="仿宋" w:eastAsia="仿宋" w:cs="仿宋"/>
          <w:sz w:val="32"/>
          <w:szCs w:val="32"/>
        </w:rPr>
        <w:t>部门决算，20</w:t>
      </w:r>
      <w:r>
        <w:rPr>
          <w:rFonts w:hint="eastAsia" w:ascii="仿宋" w:hAnsi="仿宋" w:eastAsia="仿宋" w:cs="仿宋"/>
          <w:sz w:val="32"/>
          <w:szCs w:val="32"/>
          <w:lang w:val="en-US" w:eastAsia="zh-CN"/>
        </w:rPr>
        <w:t>21</w:t>
      </w:r>
      <w:r>
        <w:rPr>
          <w:rFonts w:hint="eastAsia" w:ascii="仿宋" w:hAnsi="仿宋" w:eastAsia="仿宋" w:cs="仿宋"/>
          <w:sz w:val="32"/>
          <w:szCs w:val="32"/>
        </w:rPr>
        <w:t>年全年收入决算总额</w:t>
      </w:r>
      <w:r>
        <w:rPr>
          <w:rFonts w:hint="eastAsia" w:ascii="仿宋" w:hAnsi="仿宋" w:eastAsia="仿宋" w:cs="仿宋"/>
          <w:sz w:val="32"/>
          <w:szCs w:val="32"/>
          <w:lang w:val="en-US" w:eastAsia="zh-CN"/>
        </w:rPr>
        <w:t>67,196,823.38</w:t>
      </w:r>
      <w:r>
        <w:rPr>
          <w:rFonts w:hint="eastAsia" w:ascii="仿宋" w:hAnsi="仿宋" w:eastAsia="仿宋" w:cs="仿宋"/>
          <w:sz w:val="32"/>
          <w:szCs w:val="32"/>
        </w:rPr>
        <w:t>元，其中：当年财政拨款收入</w:t>
      </w:r>
      <w:r>
        <w:rPr>
          <w:rFonts w:hint="eastAsia" w:ascii="仿宋" w:hAnsi="仿宋" w:eastAsia="仿宋" w:cs="仿宋"/>
          <w:sz w:val="32"/>
          <w:szCs w:val="32"/>
          <w:lang w:val="en-US" w:eastAsia="zh-CN"/>
        </w:rPr>
        <w:t>46,448,669.36</w:t>
      </w:r>
      <w:r>
        <w:rPr>
          <w:rFonts w:hint="eastAsia" w:ascii="仿宋" w:hAnsi="仿宋" w:eastAsia="仿宋" w:cs="仿宋"/>
          <w:sz w:val="32"/>
          <w:szCs w:val="32"/>
        </w:rPr>
        <w:t>元，上年财政拨款结转和结余</w:t>
      </w:r>
      <w:r>
        <w:rPr>
          <w:rFonts w:hint="eastAsia" w:ascii="仿宋" w:hAnsi="仿宋" w:eastAsia="仿宋" w:cs="仿宋"/>
          <w:sz w:val="32"/>
          <w:szCs w:val="32"/>
          <w:lang w:val="en-US" w:eastAsia="zh-CN"/>
        </w:rPr>
        <w:t>20,748,154.02</w:t>
      </w:r>
      <w:r>
        <w:rPr>
          <w:rFonts w:hint="eastAsia" w:ascii="仿宋" w:hAnsi="仿宋" w:eastAsia="仿宋" w:cs="仿宋"/>
          <w:sz w:val="32"/>
          <w:szCs w:val="32"/>
        </w:rPr>
        <w:t>元。</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contextualSpacing/>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color w:val="auto"/>
          <w:sz w:val="32"/>
          <w:szCs w:val="32"/>
          <w:shd w:val="clear" w:color="auto" w:fill="auto"/>
          <w:lang w:val="en-US" w:eastAsia="zh-CN"/>
        </w:rPr>
        <w:t>根据</w:t>
      </w:r>
      <w:r>
        <w:rPr>
          <w:rFonts w:hint="eastAsia" w:ascii="仿宋" w:hAnsi="仿宋" w:eastAsia="仿宋" w:cs="仿宋"/>
          <w:sz w:val="32"/>
          <w:szCs w:val="32"/>
          <w:lang w:val="en-US" w:eastAsia="zh-CN"/>
        </w:rPr>
        <w:t>巴中市军粮供应管理中心决算报表，</w:t>
      </w: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年全年收入决算总额</w:t>
      </w:r>
      <w:r>
        <w:rPr>
          <w:rFonts w:hint="eastAsia" w:ascii="仿宋" w:hAnsi="仿宋" w:eastAsia="仿宋" w:cs="仿宋"/>
          <w:sz w:val="32"/>
          <w:szCs w:val="32"/>
          <w:lang w:val="en-US" w:eastAsia="zh-CN"/>
        </w:rPr>
        <w:t>2,056,539.00</w:t>
      </w:r>
      <w:r>
        <w:rPr>
          <w:rFonts w:hint="eastAsia" w:ascii="仿宋" w:hAnsi="仿宋" w:eastAsia="仿宋" w:cs="仿宋"/>
          <w:sz w:val="32"/>
          <w:szCs w:val="32"/>
        </w:rPr>
        <w:t>元，其中：当年财政拨款收入</w:t>
      </w:r>
      <w:r>
        <w:rPr>
          <w:rFonts w:hint="eastAsia" w:ascii="仿宋" w:hAnsi="仿宋" w:eastAsia="仿宋" w:cs="仿宋"/>
          <w:sz w:val="32"/>
          <w:szCs w:val="32"/>
          <w:lang w:val="en-US" w:eastAsia="zh-CN"/>
        </w:rPr>
        <w:t>2,056,539.00</w:t>
      </w:r>
      <w:r>
        <w:rPr>
          <w:rFonts w:hint="eastAsia" w:ascii="仿宋" w:hAnsi="仿宋" w:eastAsia="仿宋" w:cs="仿宋"/>
          <w:sz w:val="32"/>
          <w:szCs w:val="32"/>
        </w:rPr>
        <w:t>元，上年财政拨款结转和结余</w:t>
      </w:r>
      <w:r>
        <w:rPr>
          <w:rFonts w:hint="eastAsia" w:ascii="仿宋" w:hAnsi="仿宋" w:eastAsia="仿宋" w:cs="仿宋"/>
          <w:sz w:val="32"/>
          <w:szCs w:val="32"/>
          <w:lang w:val="en-US" w:eastAsia="zh-CN"/>
        </w:rPr>
        <w:t>0.00</w:t>
      </w:r>
      <w:r>
        <w:rPr>
          <w:rFonts w:hint="eastAsia" w:ascii="仿宋" w:hAnsi="仿宋" w:eastAsia="仿宋" w:cs="仿宋"/>
          <w:sz w:val="32"/>
          <w:szCs w:val="32"/>
        </w:rPr>
        <w:t>元。</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contextualSpacing/>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color w:val="auto"/>
          <w:sz w:val="32"/>
          <w:szCs w:val="32"/>
          <w:shd w:val="clear" w:color="auto" w:fill="auto"/>
          <w:lang w:val="en-US" w:eastAsia="zh-CN"/>
        </w:rPr>
        <w:t>根据</w:t>
      </w:r>
      <w:r>
        <w:rPr>
          <w:rFonts w:hint="eastAsia" w:ascii="仿宋" w:hAnsi="仿宋" w:eastAsia="仿宋" w:cs="仿宋"/>
          <w:sz w:val="32"/>
          <w:szCs w:val="32"/>
          <w:lang w:val="en-US" w:eastAsia="zh-CN"/>
        </w:rPr>
        <w:t>巴中市应急物资储备中心决算报表，</w:t>
      </w: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年全年收入决算总额</w:t>
      </w:r>
      <w:r>
        <w:rPr>
          <w:rFonts w:hint="eastAsia" w:ascii="仿宋" w:hAnsi="仿宋" w:eastAsia="仿宋" w:cs="仿宋"/>
          <w:sz w:val="32"/>
          <w:szCs w:val="32"/>
          <w:lang w:val="en-US" w:eastAsia="zh-CN"/>
        </w:rPr>
        <w:t>6,828,029.00</w:t>
      </w:r>
      <w:r>
        <w:rPr>
          <w:rFonts w:hint="eastAsia" w:ascii="仿宋" w:hAnsi="仿宋" w:eastAsia="仿宋" w:cs="仿宋"/>
          <w:sz w:val="32"/>
          <w:szCs w:val="32"/>
        </w:rPr>
        <w:t>元，其中：当年财政拨款收入</w:t>
      </w:r>
      <w:r>
        <w:rPr>
          <w:rFonts w:hint="eastAsia" w:ascii="仿宋" w:hAnsi="仿宋" w:eastAsia="仿宋" w:cs="仿宋"/>
          <w:sz w:val="32"/>
          <w:szCs w:val="32"/>
          <w:lang w:val="en-US" w:eastAsia="zh-CN"/>
        </w:rPr>
        <w:t>6,828,029.00</w:t>
      </w:r>
      <w:r>
        <w:rPr>
          <w:rFonts w:hint="eastAsia" w:ascii="仿宋" w:hAnsi="仿宋" w:eastAsia="仿宋" w:cs="仿宋"/>
          <w:sz w:val="32"/>
          <w:szCs w:val="32"/>
        </w:rPr>
        <w:t>元，上年财政拨款结转和结余</w:t>
      </w:r>
      <w:r>
        <w:rPr>
          <w:rFonts w:hint="eastAsia" w:ascii="仿宋" w:hAnsi="仿宋" w:eastAsia="仿宋" w:cs="仿宋"/>
          <w:sz w:val="32"/>
          <w:szCs w:val="32"/>
          <w:lang w:val="en-US" w:eastAsia="zh-CN"/>
        </w:rPr>
        <w:t>0.00</w:t>
      </w:r>
      <w:r>
        <w:rPr>
          <w:rFonts w:hint="eastAsia" w:ascii="仿宋" w:hAnsi="仿宋" w:eastAsia="仿宋" w:cs="仿宋"/>
          <w:sz w:val="32"/>
          <w:szCs w:val="32"/>
        </w:rPr>
        <w:t>元。</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contextualSpacing/>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eastAsia" w:ascii="仿宋" w:hAnsi="仿宋" w:eastAsia="仿宋" w:cs="仿宋"/>
          <w:color w:val="auto"/>
          <w:sz w:val="32"/>
          <w:szCs w:val="32"/>
          <w:shd w:val="clear" w:color="auto" w:fill="auto"/>
          <w:lang w:val="en-US" w:eastAsia="zh-CN"/>
        </w:rPr>
        <w:t>根据</w:t>
      </w:r>
      <w:r>
        <w:rPr>
          <w:rFonts w:hint="eastAsia" w:ascii="仿宋" w:hAnsi="仿宋" w:eastAsia="仿宋" w:cs="仿宋"/>
          <w:sz w:val="32"/>
          <w:szCs w:val="32"/>
          <w:lang w:val="en-US" w:eastAsia="zh-CN"/>
        </w:rPr>
        <w:t>市粮食质量监测站决算报表，</w:t>
      </w: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年全年收入决算总额</w:t>
      </w:r>
      <w:r>
        <w:rPr>
          <w:rFonts w:hint="eastAsia" w:ascii="仿宋" w:hAnsi="仿宋" w:eastAsia="仿宋" w:cs="仿宋"/>
          <w:sz w:val="32"/>
          <w:szCs w:val="32"/>
          <w:lang w:val="en-US" w:eastAsia="zh-CN"/>
        </w:rPr>
        <w:t>1,800,073.00</w:t>
      </w:r>
      <w:r>
        <w:rPr>
          <w:rFonts w:hint="eastAsia" w:ascii="仿宋" w:hAnsi="仿宋" w:eastAsia="仿宋" w:cs="仿宋"/>
          <w:sz w:val="32"/>
          <w:szCs w:val="32"/>
        </w:rPr>
        <w:t>元，其中：当年财政拨款收入</w:t>
      </w:r>
      <w:r>
        <w:rPr>
          <w:rFonts w:hint="eastAsia" w:ascii="仿宋" w:hAnsi="仿宋" w:eastAsia="仿宋" w:cs="仿宋"/>
          <w:sz w:val="32"/>
          <w:szCs w:val="32"/>
          <w:lang w:val="en-US" w:eastAsia="zh-CN"/>
        </w:rPr>
        <w:t>1,800,073.00</w:t>
      </w:r>
      <w:r>
        <w:rPr>
          <w:rFonts w:hint="eastAsia" w:ascii="仿宋" w:hAnsi="仿宋" w:eastAsia="仿宋" w:cs="仿宋"/>
          <w:sz w:val="32"/>
          <w:szCs w:val="32"/>
        </w:rPr>
        <w:t>元，上年财政拨款结转和结余</w:t>
      </w:r>
      <w:r>
        <w:rPr>
          <w:rFonts w:hint="eastAsia" w:ascii="仿宋" w:hAnsi="仿宋" w:eastAsia="仿宋" w:cs="仿宋"/>
          <w:sz w:val="32"/>
          <w:szCs w:val="32"/>
          <w:lang w:val="en-US" w:eastAsia="zh-CN"/>
        </w:rPr>
        <w:t>0.00</w:t>
      </w:r>
      <w:r>
        <w:rPr>
          <w:rFonts w:hint="eastAsia" w:ascii="仿宋" w:hAnsi="仿宋" w:eastAsia="仿宋" w:cs="仿宋"/>
          <w:sz w:val="32"/>
          <w:szCs w:val="32"/>
        </w:rPr>
        <w:t>元。</w:t>
      </w:r>
    </w:p>
    <w:p>
      <w:pPr>
        <w:keepNext w:val="0"/>
        <w:keepLines w:val="0"/>
        <w:pageBreakBefore w:val="0"/>
        <w:widowControl w:val="0"/>
        <w:numPr>
          <w:ilvl w:val="0"/>
          <w:numId w:val="0"/>
        </w:numPr>
        <w:kinsoku/>
        <w:wordWrap/>
        <w:overflowPunct/>
        <w:topLinePunct w:val="0"/>
        <w:autoSpaceDE/>
        <w:autoSpaceDN/>
        <w:bidi w:val="0"/>
        <w:adjustRightInd/>
        <w:spacing w:line="500" w:lineRule="exact"/>
        <w:ind w:right="0" w:rightChars="0" w:firstLine="640" w:firstLineChars="200"/>
        <w:jc w:val="both"/>
        <w:textAlignment w:val="auto"/>
        <w:outlineLvl w:val="9"/>
        <w:rPr>
          <w:rFonts w:hint="eastAsia" w:ascii="仿宋" w:hAnsi="仿宋" w:eastAsia="仿宋" w:cs="仿宋"/>
          <w:sz w:val="32"/>
          <w:szCs w:val="32"/>
          <w:lang w:val="zh-CN"/>
        </w:rPr>
      </w:pPr>
      <w:r>
        <w:rPr>
          <w:rFonts w:hint="eastAsia" w:ascii="仿宋" w:hAnsi="仿宋" w:eastAsia="仿宋" w:cs="仿宋"/>
          <w:sz w:val="32"/>
          <w:szCs w:val="32"/>
          <w:lang w:val="zh-CN"/>
        </w:rPr>
        <w:t>（二）部门财政资金支出情况。</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contextualSpacing/>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根据市</w:t>
      </w:r>
      <w:r>
        <w:rPr>
          <w:rFonts w:hint="eastAsia" w:ascii="仿宋" w:hAnsi="仿宋" w:eastAsia="仿宋" w:cs="仿宋"/>
          <w:sz w:val="32"/>
          <w:szCs w:val="32"/>
          <w:lang w:eastAsia="zh-CN"/>
        </w:rPr>
        <w:t>发改委</w:t>
      </w:r>
      <w:r>
        <w:rPr>
          <w:rFonts w:hint="eastAsia" w:ascii="仿宋" w:hAnsi="仿宋" w:eastAsia="仿宋" w:cs="仿宋"/>
          <w:sz w:val="32"/>
          <w:szCs w:val="32"/>
        </w:rPr>
        <w:t>部门决算，20</w:t>
      </w:r>
      <w:r>
        <w:rPr>
          <w:rFonts w:hint="eastAsia" w:ascii="仿宋" w:hAnsi="仿宋" w:eastAsia="仿宋" w:cs="仿宋"/>
          <w:sz w:val="32"/>
          <w:szCs w:val="32"/>
          <w:lang w:val="en-US" w:eastAsia="zh-CN"/>
        </w:rPr>
        <w:t>21</w:t>
      </w:r>
      <w:r>
        <w:rPr>
          <w:rFonts w:hint="eastAsia" w:ascii="仿宋" w:hAnsi="仿宋" w:eastAsia="仿宋" w:cs="仿宋"/>
          <w:sz w:val="32"/>
          <w:szCs w:val="32"/>
        </w:rPr>
        <w:t>年全年支出决算总额</w:t>
      </w:r>
      <w:r>
        <w:rPr>
          <w:rFonts w:hint="eastAsia" w:ascii="仿宋" w:hAnsi="仿宋" w:eastAsia="仿宋" w:cs="仿宋"/>
          <w:sz w:val="32"/>
          <w:szCs w:val="32"/>
          <w:lang w:val="en-US" w:eastAsia="zh-CN"/>
        </w:rPr>
        <w:t>66,659,891.84</w:t>
      </w:r>
      <w:r>
        <w:rPr>
          <w:rFonts w:hint="eastAsia" w:ascii="仿宋" w:hAnsi="仿宋" w:eastAsia="仿宋" w:cs="仿宋"/>
          <w:sz w:val="32"/>
          <w:szCs w:val="32"/>
        </w:rPr>
        <w:t>元，其中：基本支出</w:t>
      </w:r>
      <w:r>
        <w:rPr>
          <w:rFonts w:hint="eastAsia" w:ascii="仿宋" w:hAnsi="仿宋" w:eastAsia="仿宋" w:cs="仿宋"/>
          <w:sz w:val="32"/>
          <w:szCs w:val="32"/>
          <w:lang w:val="en-US" w:eastAsia="zh-CN"/>
        </w:rPr>
        <w:t>15,700,262.45</w:t>
      </w:r>
      <w:r>
        <w:rPr>
          <w:rFonts w:hint="eastAsia" w:ascii="仿宋" w:hAnsi="仿宋" w:eastAsia="仿宋" w:cs="仿宋"/>
          <w:sz w:val="32"/>
          <w:szCs w:val="32"/>
        </w:rPr>
        <w:t>元（人员经费</w:t>
      </w:r>
      <w:r>
        <w:rPr>
          <w:rFonts w:hint="eastAsia" w:ascii="仿宋" w:hAnsi="仿宋" w:eastAsia="仿宋" w:cs="仿宋"/>
          <w:sz w:val="32"/>
          <w:szCs w:val="32"/>
          <w:lang w:val="en-US" w:eastAsia="zh-CN"/>
        </w:rPr>
        <w:t>13,247,368.38</w:t>
      </w:r>
      <w:r>
        <w:rPr>
          <w:rFonts w:hint="eastAsia" w:ascii="仿宋" w:hAnsi="仿宋" w:eastAsia="仿宋" w:cs="仿宋"/>
          <w:sz w:val="32"/>
          <w:szCs w:val="32"/>
        </w:rPr>
        <w:t>元、日常公用经费</w:t>
      </w:r>
      <w:r>
        <w:rPr>
          <w:rFonts w:hint="eastAsia" w:ascii="仿宋" w:hAnsi="仿宋" w:eastAsia="仿宋" w:cs="仿宋"/>
          <w:sz w:val="32"/>
          <w:szCs w:val="32"/>
          <w:lang w:val="en-US" w:eastAsia="zh-CN"/>
        </w:rPr>
        <w:t>2,452,894.07</w:t>
      </w:r>
      <w:r>
        <w:rPr>
          <w:rFonts w:hint="eastAsia" w:ascii="仿宋" w:hAnsi="仿宋" w:eastAsia="仿宋" w:cs="仿宋"/>
          <w:sz w:val="32"/>
          <w:szCs w:val="32"/>
        </w:rPr>
        <w:t>元），项目支出</w:t>
      </w:r>
      <w:r>
        <w:rPr>
          <w:rFonts w:hint="eastAsia" w:ascii="仿宋" w:hAnsi="仿宋" w:eastAsia="仿宋" w:cs="仿宋"/>
          <w:sz w:val="32"/>
          <w:szCs w:val="32"/>
          <w:lang w:val="en-US" w:eastAsia="zh-CN"/>
        </w:rPr>
        <w:t>50,959,629.39</w:t>
      </w:r>
      <w:r>
        <w:rPr>
          <w:rFonts w:hint="eastAsia" w:ascii="仿宋" w:hAnsi="仿宋" w:eastAsia="仿宋" w:cs="仿宋"/>
          <w:sz w:val="32"/>
          <w:szCs w:val="32"/>
        </w:rPr>
        <w:t>元。</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contextualSpacing/>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根据</w:t>
      </w:r>
      <w:r>
        <w:rPr>
          <w:rFonts w:hint="eastAsia" w:ascii="仿宋" w:hAnsi="仿宋" w:eastAsia="仿宋" w:cs="仿宋"/>
          <w:sz w:val="32"/>
          <w:szCs w:val="32"/>
          <w:lang w:val="en-US" w:eastAsia="zh-CN"/>
        </w:rPr>
        <w:t>巴中市军粮供应管理中心</w:t>
      </w:r>
      <w:r>
        <w:rPr>
          <w:rFonts w:hint="eastAsia" w:ascii="仿宋" w:hAnsi="仿宋" w:eastAsia="仿宋" w:cs="仿宋"/>
          <w:sz w:val="32"/>
          <w:szCs w:val="32"/>
        </w:rPr>
        <w:t>部门决算，20</w:t>
      </w:r>
      <w:r>
        <w:rPr>
          <w:rFonts w:hint="eastAsia" w:ascii="仿宋" w:hAnsi="仿宋" w:eastAsia="仿宋" w:cs="仿宋"/>
          <w:sz w:val="32"/>
          <w:szCs w:val="32"/>
          <w:lang w:val="en-US" w:eastAsia="zh-CN"/>
        </w:rPr>
        <w:t>21</w:t>
      </w:r>
      <w:r>
        <w:rPr>
          <w:rFonts w:hint="eastAsia" w:ascii="仿宋" w:hAnsi="仿宋" w:eastAsia="仿宋" w:cs="仿宋"/>
          <w:sz w:val="32"/>
          <w:szCs w:val="32"/>
        </w:rPr>
        <w:t>年全年支出决算总额</w:t>
      </w:r>
      <w:r>
        <w:rPr>
          <w:rFonts w:hint="eastAsia" w:ascii="仿宋" w:hAnsi="仿宋" w:eastAsia="仿宋" w:cs="仿宋"/>
          <w:sz w:val="32"/>
          <w:szCs w:val="32"/>
          <w:lang w:val="en-US" w:eastAsia="zh-CN"/>
        </w:rPr>
        <w:t>1,646,579.00</w:t>
      </w:r>
      <w:r>
        <w:rPr>
          <w:rFonts w:hint="eastAsia" w:ascii="仿宋" w:hAnsi="仿宋" w:eastAsia="仿宋" w:cs="仿宋"/>
          <w:sz w:val="32"/>
          <w:szCs w:val="32"/>
        </w:rPr>
        <w:t>元，其中：基本支出</w:t>
      </w:r>
      <w:r>
        <w:rPr>
          <w:rFonts w:hint="eastAsia" w:ascii="仿宋" w:hAnsi="仿宋" w:eastAsia="仿宋" w:cs="仿宋"/>
          <w:sz w:val="32"/>
          <w:szCs w:val="32"/>
          <w:lang w:val="en-US" w:eastAsia="zh-CN"/>
        </w:rPr>
        <w:t>1,646,579.00</w:t>
      </w:r>
      <w:r>
        <w:rPr>
          <w:rFonts w:hint="eastAsia" w:ascii="仿宋" w:hAnsi="仿宋" w:eastAsia="仿宋" w:cs="仿宋"/>
          <w:sz w:val="32"/>
          <w:szCs w:val="32"/>
        </w:rPr>
        <w:t>元（人员经费</w:t>
      </w:r>
      <w:r>
        <w:rPr>
          <w:rFonts w:hint="eastAsia" w:ascii="仿宋" w:hAnsi="仿宋" w:eastAsia="仿宋" w:cs="仿宋"/>
          <w:sz w:val="32"/>
          <w:szCs w:val="32"/>
          <w:lang w:val="en-US" w:eastAsia="zh-CN"/>
        </w:rPr>
        <w:t>1,395,583.00</w:t>
      </w:r>
      <w:r>
        <w:rPr>
          <w:rFonts w:hint="eastAsia" w:ascii="仿宋" w:hAnsi="仿宋" w:eastAsia="仿宋" w:cs="仿宋"/>
          <w:sz w:val="32"/>
          <w:szCs w:val="32"/>
        </w:rPr>
        <w:t>元、日常公用经费</w:t>
      </w:r>
      <w:r>
        <w:rPr>
          <w:rFonts w:hint="eastAsia" w:ascii="仿宋" w:hAnsi="仿宋" w:eastAsia="仿宋" w:cs="仿宋"/>
          <w:sz w:val="32"/>
          <w:szCs w:val="32"/>
          <w:lang w:val="en-US" w:eastAsia="zh-CN"/>
        </w:rPr>
        <w:t>250,996.00</w:t>
      </w:r>
      <w:r>
        <w:rPr>
          <w:rFonts w:hint="eastAsia" w:ascii="仿宋" w:hAnsi="仿宋" w:eastAsia="仿宋" w:cs="仿宋"/>
          <w:sz w:val="32"/>
          <w:szCs w:val="32"/>
        </w:rPr>
        <w:t>元），项目支出</w:t>
      </w:r>
      <w:r>
        <w:rPr>
          <w:rFonts w:hint="eastAsia" w:ascii="仿宋" w:hAnsi="仿宋" w:eastAsia="仿宋" w:cs="仿宋"/>
          <w:sz w:val="32"/>
          <w:szCs w:val="32"/>
          <w:lang w:val="en-US" w:eastAsia="zh-CN"/>
        </w:rPr>
        <w:t>0.00</w:t>
      </w:r>
      <w:r>
        <w:rPr>
          <w:rFonts w:hint="eastAsia" w:ascii="仿宋" w:hAnsi="仿宋" w:eastAsia="仿宋" w:cs="仿宋"/>
          <w:sz w:val="32"/>
          <w:szCs w:val="32"/>
        </w:rPr>
        <w:t>元。</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contextualSpacing/>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根据</w:t>
      </w:r>
      <w:r>
        <w:rPr>
          <w:rFonts w:hint="eastAsia" w:ascii="仿宋" w:hAnsi="仿宋" w:eastAsia="仿宋" w:cs="仿宋"/>
          <w:sz w:val="32"/>
          <w:szCs w:val="32"/>
          <w:lang w:val="en-US" w:eastAsia="zh-CN"/>
        </w:rPr>
        <w:t>巴中市应急物资储备中心</w:t>
      </w:r>
      <w:r>
        <w:rPr>
          <w:rFonts w:hint="eastAsia" w:ascii="仿宋" w:hAnsi="仿宋" w:eastAsia="仿宋" w:cs="仿宋"/>
          <w:sz w:val="32"/>
          <w:szCs w:val="32"/>
        </w:rPr>
        <w:t>部门决算，20</w:t>
      </w:r>
      <w:r>
        <w:rPr>
          <w:rFonts w:hint="eastAsia" w:ascii="仿宋" w:hAnsi="仿宋" w:eastAsia="仿宋" w:cs="仿宋"/>
          <w:sz w:val="32"/>
          <w:szCs w:val="32"/>
          <w:lang w:val="en-US" w:eastAsia="zh-CN"/>
        </w:rPr>
        <w:t>21</w:t>
      </w:r>
      <w:r>
        <w:rPr>
          <w:rFonts w:hint="eastAsia" w:ascii="仿宋" w:hAnsi="仿宋" w:eastAsia="仿宋" w:cs="仿宋"/>
          <w:sz w:val="32"/>
          <w:szCs w:val="32"/>
        </w:rPr>
        <w:t>年全年支出决算总额</w:t>
      </w:r>
      <w:r>
        <w:rPr>
          <w:rFonts w:hint="eastAsia" w:ascii="仿宋" w:hAnsi="仿宋" w:eastAsia="仿宋" w:cs="仿宋"/>
          <w:sz w:val="32"/>
          <w:szCs w:val="32"/>
          <w:lang w:val="en-US" w:eastAsia="zh-CN"/>
        </w:rPr>
        <w:t>5,404,589.22</w:t>
      </w:r>
      <w:r>
        <w:rPr>
          <w:rFonts w:hint="eastAsia" w:ascii="仿宋" w:hAnsi="仿宋" w:eastAsia="仿宋" w:cs="仿宋"/>
          <w:sz w:val="32"/>
          <w:szCs w:val="32"/>
        </w:rPr>
        <w:t>元，其中：基本支出</w:t>
      </w:r>
      <w:r>
        <w:rPr>
          <w:rFonts w:hint="eastAsia" w:ascii="仿宋" w:hAnsi="仿宋" w:eastAsia="仿宋" w:cs="仿宋"/>
          <w:sz w:val="32"/>
          <w:szCs w:val="32"/>
          <w:lang w:val="en-US" w:eastAsia="zh-CN"/>
        </w:rPr>
        <w:t>5,166,594.00</w:t>
      </w:r>
      <w:r>
        <w:rPr>
          <w:rFonts w:hint="eastAsia" w:ascii="仿宋" w:hAnsi="仿宋" w:eastAsia="仿宋" w:cs="仿宋"/>
          <w:sz w:val="32"/>
          <w:szCs w:val="32"/>
        </w:rPr>
        <w:t>元（人员经费</w:t>
      </w:r>
      <w:r>
        <w:rPr>
          <w:rFonts w:hint="eastAsia" w:ascii="仿宋" w:hAnsi="仿宋" w:eastAsia="仿宋" w:cs="仿宋"/>
          <w:sz w:val="32"/>
          <w:szCs w:val="32"/>
          <w:lang w:val="en-US" w:eastAsia="zh-CN"/>
        </w:rPr>
        <w:t>4,556,594.00</w:t>
      </w:r>
      <w:r>
        <w:rPr>
          <w:rFonts w:hint="eastAsia" w:ascii="仿宋" w:hAnsi="仿宋" w:eastAsia="仿宋" w:cs="仿宋"/>
          <w:sz w:val="32"/>
          <w:szCs w:val="32"/>
        </w:rPr>
        <w:t>元、日常公用经费</w:t>
      </w:r>
      <w:r>
        <w:rPr>
          <w:rFonts w:hint="eastAsia" w:ascii="仿宋" w:hAnsi="仿宋" w:eastAsia="仿宋" w:cs="仿宋"/>
          <w:sz w:val="32"/>
          <w:szCs w:val="32"/>
          <w:lang w:val="en-US" w:eastAsia="zh-CN"/>
        </w:rPr>
        <w:t>610,000.00</w:t>
      </w:r>
      <w:r>
        <w:rPr>
          <w:rFonts w:hint="eastAsia" w:ascii="仿宋" w:hAnsi="仿宋" w:eastAsia="仿宋" w:cs="仿宋"/>
          <w:sz w:val="32"/>
          <w:szCs w:val="32"/>
        </w:rPr>
        <w:t>元），项目支出</w:t>
      </w:r>
      <w:r>
        <w:rPr>
          <w:rFonts w:hint="eastAsia" w:ascii="仿宋" w:hAnsi="仿宋" w:eastAsia="仿宋" w:cs="仿宋"/>
          <w:sz w:val="32"/>
          <w:szCs w:val="32"/>
          <w:lang w:val="en-US" w:eastAsia="zh-CN"/>
        </w:rPr>
        <w:t>237,995.22</w:t>
      </w:r>
      <w:r>
        <w:rPr>
          <w:rFonts w:hint="eastAsia" w:ascii="仿宋" w:hAnsi="仿宋" w:eastAsia="仿宋" w:cs="仿宋"/>
          <w:sz w:val="32"/>
          <w:szCs w:val="32"/>
        </w:rPr>
        <w:t>元。</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contextualSpacing/>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根据</w:t>
      </w:r>
      <w:r>
        <w:rPr>
          <w:rFonts w:hint="eastAsia" w:ascii="仿宋" w:hAnsi="仿宋" w:eastAsia="仿宋" w:cs="仿宋"/>
          <w:sz w:val="32"/>
          <w:szCs w:val="32"/>
          <w:lang w:val="en-US" w:eastAsia="zh-CN"/>
        </w:rPr>
        <w:t>市粮食质量监测站</w:t>
      </w:r>
      <w:r>
        <w:rPr>
          <w:rFonts w:hint="eastAsia" w:ascii="仿宋" w:hAnsi="仿宋" w:eastAsia="仿宋" w:cs="仿宋"/>
          <w:sz w:val="32"/>
          <w:szCs w:val="32"/>
        </w:rPr>
        <w:t>部门决算，20</w:t>
      </w:r>
      <w:r>
        <w:rPr>
          <w:rFonts w:hint="eastAsia" w:ascii="仿宋" w:hAnsi="仿宋" w:eastAsia="仿宋" w:cs="仿宋"/>
          <w:sz w:val="32"/>
          <w:szCs w:val="32"/>
          <w:lang w:val="en-US" w:eastAsia="zh-CN"/>
        </w:rPr>
        <w:t>21</w:t>
      </w:r>
      <w:r>
        <w:rPr>
          <w:rFonts w:hint="eastAsia" w:ascii="仿宋" w:hAnsi="仿宋" w:eastAsia="仿宋" w:cs="仿宋"/>
          <w:sz w:val="32"/>
          <w:szCs w:val="32"/>
        </w:rPr>
        <w:t>年全年支出决算总额</w:t>
      </w:r>
      <w:r>
        <w:rPr>
          <w:rFonts w:hint="eastAsia" w:ascii="仿宋" w:hAnsi="仿宋" w:eastAsia="仿宋" w:cs="仿宋"/>
          <w:sz w:val="32"/>
          <w:szCs w:val="32"/>
          <w:lang w:val="en-US" w:eastAsia="zh-CN"/>
        </w:rPr>
        <w:t>1,800,073.00</w:t>
      </w:r>
      <w:r>
        <w:rPr>
          <w:rFonts w:hint="eastAsia" w:ascii="仿宋" w:hAnsi="仿宋" w:eastAsia="仿宋" w:cs="仿宋"/>
          <w:sz w:val="32"/>
          <w:szCs w:val="32"/>
        </w:rPr>
        <w:t>元，其中：基本支出</w:t>
      </w:r>
      <w:r>
        <w:rPr>
          <w:rFonts w:hint="eastAsia" w:ascii="仿宋" w:hAnsi="仿宋" w:eastAsia="仿宋" w:cs="仿宋"/>
          <w:sz w:val="32"/>
          <w:szCs w:val="32"/>
          <w:lang w:val="en-US" w:eastAsia="zh-CN"/>
        </w:rPr>
        <w:t>1,700,073.00</w:t>
      </w:r>
      <w:r>
        <w:rPr>
          <w:rFonts w:hint="eastAsia" w:ascii="仿宋" w:hAnsi="仿宋" w:eastAsia="仿宋" w:cs="仿宋"/>
          <w:sz w:val="32"/>
          <w:szCs w:val="32"/>
        </w:rPr>
        <w:t>元（人员经费</w:t>
      </w:r>
      <w:r>
        <w:rPr>
          <w:rFonts w:hint="eastAsia" w:ascii="仿宋" w:hAnsi="仿宋" w:eastAsia="仿宋" w:cs="仿宋"/>
          <w:sz w:val="32"/>
          <w:szCs w:val="32"/>
          <w:lang w:val="en-US" w:eastAsia="zh-CN"/>
        </w:rPr>
        <w:t>1,339,323.00</w:t>
      </w:r>
      <w:r>
        <w:rPr>
          <w:rFonts w:hint="eastAsia" w:ascii="仿宋" w:hAnsi="仿宋" w:eastAsia="仿宋" w:cs="仿宋"/>
          <w:sz w:val="32"/>
          <w:szCs w:val="32"/>
        </w:rPr>
        <w:t>元、日常公用经费</w:t>
      </w:r>
      <w:r>
        <w:rPr>
          <w:rFonts w:hint="eastAsia" w:ascii="仿宋" w:hAnsi="仿宋" w:eastAsia="仿宋" w:cs="仿宋"/>
          <w:sz w:val="32"/>
          <w:szCs w:val="32"/>
          <w:lang w:val="en-US" w:eastAsia="zh-CN"/>
        </w:rPr>
        <w:t>360,750.00</w:t>
      </w:r>
      <w:r>
        <w:rPr>
          <w:rFonts w:hint="eastAsia" w:ascii="仿宋" w:hAnsi="仿宋" w:eastAsia="仿宋" w:cs="仿宋"/>
          <w:sz w:val="32"/>
          <w:szCs w:val="32"/>
        </w:rPr>
        <w:t>元），项目支出</w:t>
      </w:r>
      <w:r>
        <w:rPr>
          <w:rFonts w:hint="eastAsia" w:ascii="仿宋" w:hAnsi="仿宋" w:eastAsia="仿宋" w:cs="仿宋"/>
          <w:sz w:val="32"/>
          <w:szCs w:val="32"/>
          <w:lang w:val="en-US" w:eastAsia="zh-CN"/>
        </w:rPr>
        <w:t>100,000.00</w:t>
      </w:r>
      <w:r>
        <w:rPr>
          <w:rFonts w:hint="eastAsia" w:ascii="仿宋" w:hAnsi="仿宋" w:eastAsia="仿宋" w:cs="仿宋"/>
          <w:sz w:val="32"/>
          <w:szCs w:val="32"/>
        </w:rPr>
        <w:t>元。</w:t>
      </w:r>
    </w:p>
    <w:p>
      <w:pPr>
        <w:keepNext w:val="0"/>
        <w:keepLines w:val="0"/>
        <w:pageBreakBefore w:val="0"/>
        <w:widowControl/>
        <w:kinsoku/>
        <w:wordWrap/>
        <w:overflowPunct/>
        <w:topLinePunct w:val="0"/>
        <w:autoSpaceDE/>
        <w:autoSpaceDN/>
        <w:bidi w:val="0"/>
        <w:adjustRightInd w:val="0"/>
        <w:snapToGrid w:val="0"/>
        <w:spacing w:line="572"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三、</w:t>
      </w:r>
      <w:r>
        <w:rPr>
          <w:rFonts w:hint="eastAsia" w:ascii="黑体" w:hAnsi="宋体" w:eastAsia="黑体" w:cs="宋体"/>
          <w:color w:val="auto"/>
          <w:kern w:val="0"/>
          <w:sz w:val="32"/>
          <w:szCs w:val="32"/>
          <w:highlight w:val="none"/>
          <w:u w:val="none"/>
          <w:shd w:val="clear" w:color="auto" w:fill="FFFFFF"/>
        </w:rPr>
        <w:t>部门整体预算绩效管理情况</w:t>
      </w:r>
      <w:r>
        <w:rPr>
          <w:rFonts w:hint="eastAsia" w:ascii="黑体" w:hAnsi="宋体" w:eastAsia="黑体" w:cs="宋体"/>
          <w:color w:val="auto"/>
          <w:kern w:val="0"/>
          <w:sz w:val="32"/>
          <w:szCs w:val="32"/>
          <w:highlight w:val="none"/>
          <w:shd w:val="clear" w:color="auto" w:fill="FFFFFF"/>
        </w:rPr>
        <w:t>（</w:t>
      </w:r>
      <w:r>
        <w:rPr>
          <w:rFonts w:hint="eastAsia" w:ascii="黑体" w:hAnsi="宋体" w:eastAsia="黑体" w:cs="宋体"/>
          <w:color w:val="auto"/>
          <w:kern w:val="0"/>
          <w:sz w:val="32"/>
          <w:szCs w:val="32"/>
          <w:highlight w:val="none"/>
          <w:shd w:val="clear" w:color="auto" w:fill="FFFFFF"/>
          <w:lang w:eastAsia="zh-CN"/>
        </w:rPr>
        <w:t>涉及到有专项预算的部门，专项预算项目自评报告作为附件报送；</w:t>
      </w:r>
      <w:r>
        <w:rPr>
          <w:rFonts w:hint="eastAsia" w:ascii="黑体" w:hAnsi="宋体" w:eastAsia="黑体" w:cs="宋体"/>
          <w:color w:val="auto"/>
          <w:kern w:val="0"/>
          <w:sz w:val="32"/>
          <w:szCs w:val="32"/>
          <w:highlight w:val="none"/>
          <w:shd w:val="clear" w:color="auto" w:fill="FFFFFF"/>
          <w:lang w:val="en-US" w:eastAsia="zh-CN"/>
        </w:rPr>
        <w:t>特定目标类部门预算项目绩效目标自评表作为附表报送</w:t>
      </w:r>
      <w:r>
        <w:rPr>
          <w:rFonts w:hint="eastAsia" w:ascii="黑体" w:hAnsi="宋体" w:eastAsia="黑体" w:cs="宋体"/>
          <w:color w:val="auto"/>
          <w:kern w:val="0"/>
          <w:sz w:val="32"/>
          <w:szCs w:val="32"/>
          <w:highlight w:val="none"/>
          <w:shd w:val="clear" w:color="auto" w:fill="FFFFFF"/>
        </w:rPr>
        <w:t>）</w:t>
      </w:r>
    </w:p>
    <w:p>
      <w:pPr>
        <w:keepNext w:val="0"/>
        <w:keepLines w:val="0"/>
        <w:pageBreakBefore w:val="0"/>
        <w:widowControl w:val="0"/>
        <w:numPr>
          <w:ilvl w:val="0"/>
          <w:numId w:val="0"/>
        </w:numPr>
        <w:kinsoku/>
        <w:wordWrap/>
        <w:overflowPunct/>
        <w:topLinePunct w:val="0"/>
        <w:autoSpaceDE/>
        <w:autoSpaceDN/>
        <w:bidi w:val="0"/>
        <w:adjustRightInd/>
        <w:spacing w:line="500" w:lineRule="exact"/>
        <w:ind w:right="0" w:rightChars="0" w:firstLine="640" w:firstLineChars="200"/>
        <w:jc w:val="both"/>
        <w:textAlignment w:val="auto"/>
        <w:outlineLvl w:val="9"/>
        <w:rPr>
          <w:rFonts w:hint="eastAsia" w:ascii="仿宋" w:hAnsi="仿宋" w:eastAsia="仿宋" w:cs="仿宋"/>
          <w:sz w:val="32"/>
          <w:szCs w:val="32"/>
          <w:lang w:val="zh-CN"/>
        </w:rPr>
      </w:pPr>
      <w:r>
        <w:rPr>
          <w:rFonts w:hint="eastAsia" w:ascii="仿宋" w:hAnsi="仿宋" w:eastAsia="仿宋" w:cs="仿宋"/>
          <w:sz w:val="32"/>
          <w:szCs w:val="32"/>
          <w:lang w:val="zh-CN"/>
        </w:rPr>
        <w:t>（一）部门预算管理。</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contextualSpacing/>
        <w:jc w:val="both"/>
        <w:textAlignment w:val="auto"/>
        <w:rPr>
          <w:rFonts w:hint="eastAsia" w:ascii="仿宋" w:hAnsi="仿宋" w:eastAsia="仿宋" w:cs="仿宋"/>
          <w:sz w:val="32"/>
          <w:szCs w:val="32"/>
        </w:rPr>
      </w:pPr>
      <w:r>
        <w:rPr>
          <w:rFonts w:hint="eastAsia" w:ascii="仿宋" w:hAnsi="仿宋" w:eastAsia="仿宋" w:cs="仿宋"/>
          <w:sz w:val="32"/>
          <w:szCs w:val="32"/>
        </w:rPr>
        <w:t>1.预算编制。</w:t>
      </w:r>
    </w:p>
    <w:p>
      <w:pPr>
        <w:keepNext w:val="0"/>
        <w:keepLines w:val="0"/>
        <w:pageBreakBefore w:val="0"/>
        <w:widowControl w:val="0"/>
        <w:shd w:val="clear" w:color="auto" w:fill="auto"/>
        <w:kinsoku/>
        <w:wordWrap/>
        <w:overflowPunct/>
        <w:topLinePunct w:val="0"/>
        <w:autoSpaceDE/>
        <w:autoSpaceDN/>
        <w:bidi w:val="0"/>
        <w:adjustRightInd w:val="0"/>
        <w:snapToGrid w:val="0"/>
        <w:spacing w:line="500" w:lineRule="exact"/>
        <w:ind w:firstLine="640" w:firstLineChars="200"/>
        <w:contextualSpacing/>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目标制定。20</w:t>
      </w:r>
      <w:r>
        <w:rPr>
          <w:rFonts w:hint="eastAsia" w:ascii="仿宋" w:hAnsi="仿宋" w:eastAsia="仿宋" w:cs="仿宋"/>
          <w:sz w:val="32"/>
          <w:szCs w:val="32"/>
          <w:lang w:val="en-US" w:eastAsia="zh-CN"/>
        </w:rPr>
        <w:t>21</w:t>
      </w:r>
      <w:r>
        <w:rPr>
          <w:rFonts w:hint="eastAsia" w:ascii="仿宋" w:hAnsi="仿宋" w:eastAsia="仿宋" w:cs="仿宋"/>
          <w:sz w:val="32"/>
          <w:szCs w:val="32"/>
        </w:rPr>
        <w:t>年市</w:t>
      </w:r>
      <w:r>
        <w:rPr>
          <w:rFonts w:hint="eastAsia" w:ascii="仿宋" w:hAnsi="仿宋" w:eastAsia="仿宋" w:cs="仿宋"/>
          <w:sz w:val="32"/>
          <w:szCs w:val="32"/>
          <w:lang w:eastAsia="zh-CN"/>
        </w:rPr>
        <w:t>发改委</w:t>
      </w:r>
      <w:r>
        <w:rPr>
          <w:rFonts w:hint="eastAsia" w:ascii="仿宋" w:hAnsi="仿宋" w:eastAsia="仿宋" w:cs="仿宋"/>
          <w:sz w:val="32"/>
          <w:szCs w:val="32"/>
        </w:rPr>
        <w:t>主要工</w:t>
      </w:r>
      <w:r>
        <w:rPr>
          <w:rFonts w:hint="eastAsia" w:ascii="仿宋" w:hAnsi="仿宋" w:eastAsia="仿宋" w:cs="仿宋"/>
          <w:color w:val="auto"/>
          <w:sz w:val="32"/>
          <w:szCs w:val="32"/>
          <w:shd w:val="clear" w:color="auto" w:fill="auto"/>
        </w:rPr>
        <w:t>作任务和绩效目标</w:t>
      </w:r>
      <w:r>
        <w:rPr>
          <w:rFonts w:hint="eastAsia" w:ascii="仿宋" w:hAnsi="仿宋" w:eastAsia="仿宋" w:cs="仿宋"/>
          <w:sz w:val="32"/>
          <w:szCs w:val="32"/>
        </w:rPr>
        <w:t>基本都进行了细化和量化。</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contextualSpacing/>
        <w:jc w:val="both"/>
        <w:textAlignment w:val="auto"/>
        <w:rPr>
          <w:rFonts w:hint="eastAsia" w:ascii="仿宋" w:hAnsi="仿宋" w:eastAsia="仿宋" w:cs="仿宋"/>
          <w:color w:val="auto"/>
          <w:sz w:val="32"/>
          <w:szCs w:val="32"/>
          <w:shd w:val="clear" w:color="auto" w:fill="auto"/>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目标完成。20</w:t>
      </w:r>
      <w:r>
        <w:rPr>
          <w:rFonts w:hint="eastAsia" w:ascii="仿宋" w:hAnsi="仿宋" w:eastAsia="仿宋" w:cs="仿宋"/>
          <w:sz w:val="32"/>
          <w:szCs w:val="32"/>
          <w:lang w:val="en-US" w:eastAsia="zh-CN"/>
        </w:rPr>
        <w:t>21</w:t>
      </w:r>
      <w:r>
        <w:rPr>
          <w:rFonts w:hint="eastAsia" w:ascii="仿宋" w:hAnsi="仿宋" w:eastAsia="仿宋" w:cs="仿宋"/>
          <w:sz w:val="32"/>
          <w:szCs w:val="32"/>
        </w:rPr>
        <w:t>年市</w:t>
      </w:r>
      <w:r>
        <w:rPr>
          <w:rFonts w:hint="eastAsia" w:ascii="仿宋" w:hAnsi="仿宋" w:eastAsia="仿宋" w:cs="仿宋"/>
          <w:sz w:val="32"/>
          <w:szCs w:val="32"/>
          <w:lang w:eastAsia="zh-CN"/>
        </w:rPr>
        <w:t>发改委</w:t>
      </w:r>
      <w:r>
        <w:rPr>
          <w:rFonts w:hint="eastAsia" w:ascii="仿宋" w:hAnsi="仿宋" w:eastAsia="仿宋" w:cs="仿宋"/>
          <w:color w:val="auto"/>
          <w:sz w:val="32"/>
          <w:szCs w:val="32"/>
          <w:shd w:val="clear" w:color="auto" w:fill="auto"/>
        </w:rPr>
        <w:t>各项绩效目标任务已完成。</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contextualSpacing/>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）编</w:t>
      </w:r>
      <w:r>
        <w:rPr>
          <w:rFonts w:hint="eastAsia" w:ascii="仿宋" w:hAnsi="仿宋" w:eastAsia="仿宋" w:cs="仿宋"/>
          <w:sz w:val="32"/>
          <w:szCs w:val="32"/>
        </w:rPr>
        <w:t>制准确。①20</w:t>
      </w:r>
      <w:r>
        <w:rPr>
          <w:rFonts w:hint="eastAsia" w:ascii="仿宋" w:hAnsi="仿宋" w:eastAsia="仿宋" w:cs="仿宋"/>
          <w:sz w:val="32"/>
          <w:szCs w:val="32"/>
          <w:lang w:val="en-US" w:eastAsia="zh-CN"/>
        </w:rPr>
        <w:t>21</w:t>
      </w:r>
      <w:r>
        <w:rPr>
          <w:rFonts w:hint="eastAsia" w:ascii="仿宋" w:hAnsi="仿宋" w:eastAsia="仿宋" w:cs="仿宋"/>
          <w:sz w:val="32"/>
          <w:szCs w:val="32"/>
        </w:rPr>
        <w:t>年</w:t>
      </w:r>
      <w:r>
        <w:rPr>
          <w:rFonts w:hint="eastAsia" w:ascii="仿宋" w:hAnsi="仿宋" w:eastAsia="仿宋" w:cs="仿宋"/>
          <w:sz w:val="32"/>
          <w:szCs w:val="32"/>
          <w:lang w:eastAsia="zh-CN"/>
        </w:rPr>
        <w:t>，</w:t>
      </w:r>
      <w:r>
        <w:rPr>
          <w:rFonts w:hint="eastAsia" w:ascii="仿宋" w:hAnsi="仿宋" w:eastAsia="仿宋" w:cs="仿宋"/>
          <w:sz w:val="32"/>
          <w:szCs w:val="32"/>
        </w:rPr>
        <w:t>市</w:t>
      </w:r>
      <w:r>
        <w:rPr>
          <w:rFonts w:hint="eastAsia" w:ascii="仿宋" w:hAnsi="仿宋" w:eastAsia="仿宋" w:cs="仿宋"/>
          <w:sz w:val="32"/>
          <w:szCs w:val="32"/>
          <w:lang w:eastAsia="zh-CN"/>
        </w:rPr>
        <w:t>发改委</w:t>
      </w:r>
      <w:r>
        <w:rPr>
          <w:rFonts w:hint="eastAsia" w:ascii="仿宋" w:hAnsi="仿宋" w:eastAsia="仿宋" w:cs="仿宋"/>
          <w:sz w:val="32"/>
          <w:szCs w:val="32"/>
        </w:rPr>
        <w:t>年度预算总额</w:t>
      </w:r>
      <w:r>
        <w:rPr>
          <w:rFonts w:hint="eastAsia" w:ascii="仿宋" w:hAnsi="仿宋" w:eastAsia="仿宋" w:cs="仿宋"/>
          <w:sz w:val="32"/>
          <w:szCs w:val="32"/>
          <w:lang w:val="en-US" w:eastAsia="zh-CN"/>
        </w:rPr>
        <w:t>67,196,823.38</w:t>
      </w:r>
      <w:r>
        <w:rPr>
          <w:rFonts w:hint="eastAsia" w:ascii="仿宋" w:hAnsi="仿宋" w:eastAsia="仿宋" w:cs="仿宋"/>
          <w:sz w:val="32"/>
          <w:szCs w:val="32"/>
        </w:rPr>
        <w:t>元，其中：上年结转</w:t>
      </w:r>
      <w:r>
        <w:rPr>
          <w:rFonts w:hint="eastAsia" w:ascii="仿宋" w:hAnsi="仿宋" w:eastAsia="仿宋" w:cs="仿宋"/>
          <w:sz w:val="32"/>
          <w:szCs w:val="32"/>
          <w:lang w:val="en-US" w:eastAsia="zh-CN"/>
        </w:rPr>
        <w:t>20,748,154.02</w:t>
      </w:r>
      <w:r>
        <w:rPr>
          <w:rFonts w:hint="eastAsia" w:ascii="仿宋" w:hAnsi="仿宋" w:eastAsia="仿宋" w:cs="仿宋"/>
          <w:sz w:val="32"/>
          <w:szCs w:val="32"/>
        </w:rPr>
        <w:t>元，年初预算</w:t>
      </w:r>
      <w:r>
        <w:rPr>
          <w:rFonts w:hint="eastAsia" w:ascii="仿宋" w:hAnsi="仿宋" w:eastAsia="仿宋" w:cs="仿宋"/>
          <w:sz w:val="32"/>
          <w:szCs w:val="32"/>
          <w:lang w:val="en-US" w:eastAsia="zh-CN"/>
        </w:rPr>
        <w:t>14,668,000.00</w:t>
      </w:r>
      <w:r>
        <w:rPr>
          <w:rFonts w:hint="eastAsia" w:ascii="仿宋" w:hAnsi="仿宋" w:eastAsia="仿宋" w:cs="仿宋"/>
          <w:sz w:val="32"/>
          <w:szCs w:val="32"/>
        </w:rPr>
        <w:t>元，预算追加</w:t>
      </w:r>
      <w:r>
        <w:rPr>
          <w:rFonts w:hint="eastAsia" w:ascii="仿宋" w:hAnsi="仿宋" w:eastAsia="仿宋" w:cs="仿宋"/>
          <w:sz w:val="32"/>
          <w:szCs w:val="32"/>
          <w:lang w:val="en-US" w:eastAsia="zh-CN"/>
        </w:rPr>
        <w:t>52,528,823.38</w:t>
      </w:r>
      <w:r>
        <w:rPr>
          <w:rFonts w:hint="eastAsia" w:ascii="仿宋" w:hAnsi="仿宋" w:eastAsia="仿宋" w:cs="仿宋"/>
          <w:sz w:val="32"/>
          <w:szCs w:val="32"/>
        </w:rPr>
        <w:t>元，预算结余</w:t>
      </w:r>
      <w:r>
        <w:rPr>
          <w:rFonts w:hint="eastAsia" w:ascii="仿宋" w:hAnsi="仿宋" w:eastAsia="仿宋" w:cs="仿宋"/>
          <w:sz w:val="32"/>
          <w:szCs w:val="32"/>
          <w:lang w:val="en-US" w:eastAsia="zh-CN"/>
        </w:rPr>
        <w:t>536,931.54</w:t>
      </w:r>
      <w:r>
        <w:rPr>
          <w:rFonts w:hint="eastAsia" w:ascii="仿宋" w:hAnsi="仿宋" w:eastAsia="仿宋" w:cs="仿宋"/>
          <w:sz w:val="32"/>
          <w:szCs w:val="32"/>
        </w:rPr>
        <w:t>元</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contextualSpacing/>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②20</w:t>
      </w:r>
      <w:r>
        <w:rPr>
          <w:rFonts w:hint="eastAsia" w:ascii="仿宋" w:hAnsi="仿宋" w:eastAsia="仿宋" w:cs="仿宋"/>
          <w:sz w:val="32"/>
          <w:szCs w:val="32"/>
          <w:lang w:val="en-US" w:eastAsia="zh-CN"/>
        </w:rPr>
        <w:t>21</w:t>
      </w:r>
      <w:r>
        <w:rPr>
          <w:rFonts w:hint="eastAsia" w:ascii="仿宋" w:hAnsi="仿宋" w:eastAsia="仿宋" w:cs="仿宋"/>
          <w:sz w:val="32"/>
          <w:szCs w:val="32"/>
        </w:rPr>
        <w:t>年</w:t>
      </w:r>
      <w:r>
        <w:rPr>
          <w:rFonts w:hint="eastAsia" w:ascii="仿宋" w:hAnsi="仿宋" w:eastAsia="仿宋" w:cs="仿宋"/>
          <w:sz w:val="32"/>
          <w:szCs w:val="32"/>
          <w:lang w:val="en-US" w:eastAsia="zh-CN"/>
        </w:rPr>
        <w:t>,市军粮供应管理中心</w:t>
      </w:r>
      <w:r>
        <w:rPr>
          <w:rFonts w:hint="eastAsia" w:ascii="仿宋" w:hAnsi="仿宋" w:eastAsia="仿宋" w:cs="仿宋"/>
          <w:sz w:val="32"/>
          <w:szCs w:val="32"/>
        </w:rPr>
        <w:t>年度预算总额</w:t>
      </w:r>
      <w:r>
        <w:rPr>
          <w:rFonts w:hint="eastAsia" w:ascii="仿宋" w:hAnsi="仿宋" w:eastAsia="仿宋" w:cs="仿宋"/>
          <w:sz w:val="32"/>
          <w:szCs w:val="32"/>
          <w:lang w:val="en-US" w:eastAsia="zh-CN"/>
        </w:rPr>
        <w:t>2,056,539.00</w:t>
      </w:r>
      <w:r>
        <w:rPr>
          <w:rFonts w:hint="eastAsia" w:ascii="仿宋" w:hAnsi="仿宋" w:eastAsia="仿宋" w:cs="仿宋"/>
          <w:sz w:val="32"/>
          <w:szCs w:val="32"/>
        </w:rPr>
        <w:t>元，其中：上年结转</w:t>
      </w:r>
      <w:r>
        <w:rPr>
          <w:rFonts w:hint="eastAsia" w:ascii="仿宋" w:hAnsi="仿宋" w:eastAsia="仿宋" w:cs="仿宋"/>
          <w:sz w:val="32"/>
          <w:szCs w:val="32"/>
          <w:lang w:val="en-US" w:eastAsia="zh-CN"/>
        </w:rPr>
        <w:t>0.00</w:t>
      </w:r>
      <w:r>
        <w:rPr>
          <w:rFonts w:hint="eastAsia" w:ascii="仿宋" w:hAnsi="仿宋" w:eastAsia="仿宋" w:cs="仿宋"/>
          <w:sz w:val="32"/>
          <w:szCs w:val="32"/>
        </w:rPr>
        <w:t>元，年初预算</w:t>
      </w:r>
      <w:r>
        <w:rPr>
          <w:rFonts w:hint="eastAsia" w:ascii="仿宋" w:hAnsi="仿宋" w:eastAsia="仿宋" w:cs="仿宋"/>
          <w:sz w:val="32"/>
          <w:szCs w:val="32"/>
          <w:lang w:val="en-US" w:eastAsia="zh-CN"/>
        </w:rPr>
        <w:t>1,241,000.00</w:t>
      </w:r>
      <w:r>
        <w:rPr>
          <w:rFonts w:hint="eastAsia" w:ascii="仿宋" w:hAnsi="仿宋" w:eastAsia="仿宋" w:cs="仿宋"/>
          <w:sz w:val="32"/>
          <w:szCs w:val="32"/>
        </w:rPr>
        <w:t>元，预算追加</w:t>
      </w:r>
      <w:r>
        <w:rPr>
          <w:rFonts w:hint="eastAsia" w:ascii="仿宋" w:hAnsi="仿宋" w:eastAsia="仿宋" w:cs="仿宋"/>
          <w:sz w:val="32"/>
          <w:szCs w:val="32"/>
          <w:lang w:val="en-US" w:eastAsia="zh-CN"/>
        </w:rPr>
        <w:t>815,539.00</w:t>
      </w:r>
      <w:r>
        <w:rPr>
          <w:rFonts w:hint="eastAsia" w:ascii="仿宋" w:hAnsi="仿宋" w:eastAsia="仿宋" w:cs="仿宋"/>
          <w:sz w:val="32"/>
          <w:szCs w:val="32"/>
        </w:rPr>
        <w:t>元，预算结余</w:t>
      </w:r>
      <w:r>
        <w:rPr>
          <w:rFonts w:hint="eastAsia" w:ascii="仿宋" w:hAnsi="仿宋" w:eastAsia="仿宋" w:cs="仿宋"/>
          <w:sz w:val="32"/>
          <w:szCs w:val="32"/>
          <w:lang w:val="en-US" w:eastAsia="zh-CN"/>
        </w:rPr>
        <w:t>409,960.00</w:t>
      </w:r>
      <w:r>
        <w:rPr>
          <w:rFonts w:hint="eastAsia" w:ascii="仿宋" w:hAnsi="仿宋" w:eastAsia="仿宋" w:cs="仿宋"/>
          <w:sz w:val="32"/>
          <w:szCs w:val="32"/>
        </w:rPr>
        <w:t>元</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contextualSpacing/>
        <w:jc w:val="both"/>
        <w:textAlignment w:val="auto"/>
        <w:rPr>
          <w:rFonts w:hint="eastAsia" w:ascii="仿宋" w:hAnsi="仿宋" w:eastAsia="仿宋" w:cs="仿宋"/>
          <w:sz w:val="32"/>
          <w:szCs w:val="32"/>
          <w:lang w:eastAsia="zh-CN"/>
        </w:rPr>
      </w:pPr>
      <w:r>
        <w:rPr>
          <w:rFonts w:hint="eastAsia" w:ascii="仿宋" w:hAnsi="仿宋" w:eastAsia="仿宋" w:cs="仿宋"/>
          <w:sz w:val="32"/>
          <w:szCs w:val="32"/>
        </w:rPr>
        <w:t>③20</w:t>
      </w:r>
      <w:r>
        <w:rPr>
          <w:rFonts w:hint="eastAsia" w:ascii="仿宋" w:hAnsi="仿宋" w:eastAsia="仿宋" w:cs="仿宋"/>
          <w:sz w:val="32"/>
          <w:szCs w:val="32"/>
          <w:lang w:val="en-US" w:eastAsia="zh-CN"/>
        </w:rPr>
        <w:t>21</w:t>
      </w:r>
      <w:r>
        <w:rPr>
          <w:rFonts w:hint="eastAsia" w:ascii="仿宋" w:hAnsi="仿宋" w:eastAsia="仿宋" w:cs="仿宋"/>
          <w:sz w:val="32"/>
          <w:szCs w:val="32"/>
        </w:rPr>
        <w:t>年</w:t>
      </w:r>
      <w:r>
        <w:rPr>
          <w:rFonts w:hint="eastAsia" w:ascii="仿宋" w:hAnsi="仿宋" w:eastAsia="仿宋" w:cs="仿宋"/>
          <w:sz w:val="32"/>
          <w:szCs w:val="32"/>
          <w:lang w:val="en-US" w:eastAsia="zh-CN"/>
        </w:rPr>
        <w:t>,</w:t>
      </w:r>
      <w:r>
        <w:rPr>
          <w:rFonts w:hint="eastAsia" w:ascii="仿宋" w:hAnsi="仿宋" w:eastAsia="仿宋" w:cs="仿宋"/>
          <w:sz w:val="32"/>
          <w:szCs w:val="32"/>
        </w:rPr>
        <w:t>市</w:t>
      </w:r>
      <w:r>
        <w:rPr>
          <w:rFonts w:hint="eastAsia" w:ascii="仿宋" w:hAnsi="仿宋" w:eastAsia="仿宋" w:cs="仿宋"/>
          <w:sz w:val="32"/>
          <w:szCs w:val="32"/>
          <w:lang w:val="en-US" w:eastAsia="zh-CN"/>
        </w:rPr>
        <w:t>应急物资储备中心</w:t>
      </w:r>
      <w:r>
        <w:rPr>
          <w:rFonts w:hint="eastAsia" w:ascii="仿宋" w:hAnsi="仿宋" w:eastAsia="仿宋" w:cs="仿宋"/>
          <w:sz w:val="32"/>
          <w:szCs w:val="32"/>
        </w:rPr>
        <w:t>部门年度预算总额</w:t>
      </w:r>
      <w:r>
        <w:rPr>
          <w:rFonts w:hint="eastAsia" w:ascii="仿宋" w:hAnsi="仿宋" w:eastAsia="仿宋" w:cs="仿宋"/>
          <w:sz w:val="32"/>
          <w:szCs w:val="32"/>
          <w:lang w:val="en-US" w:eastAsia="zh-CN"/>
        </w:rPr>
        <w:t>6,828,029.00</w:t>
      </w:r>
      <w:r>
        <w:rPr>
          <w:rFonts w:hint="eastAsia" w:ascii="仿宋" w:hAnsi="仿宋" w:eastAsia="仿宋" w:cs="仿宋"/>
          <w:sz w:val="32"/>
          <w:szCs w:val="32"/>
        </w:rPr>
        <w:t>元，其中：上年结转</w:t>
      </w:r>
      <w:r>
        <w:rPr>
          <w:rFonts w:hint="eastAsia" w:ascii="仿宋" w:hAnsi="仿宋" w:eastAsia="仿宋" w:cs="仿宋"/>
          <w:sz w:val="32"/>
          <w:szCs w:val="32"/>
          <w:lang w:val="en-US" w:eastAsia="zh-CN"/>
        </w:rPr>
        <w:t>0.00</w:t>
      </w:r>
      <w:r>
        <w:rPr>
          <w:rFonts w:hint="eastAsia" w:ascii="仿宋" w:hAnsi="仿宋" w:eastAsia="仿宋" w:cs="仿宋"/>
          <w:sz w:val="32"/>
          <w:szCs w:val="32"/>
        </w:rPr>
        <w:t>元，年初预算</w:t>
      </w:r>
      <w:r>
        <w:rPr>
          <w:rFonts w:hint="eastAsia" w:ascii="仿宋" w:hAnsi="仿宋" w:eastAsia="仿宋" w:cs="仿宋"/>
          <w:sz w:val="32"/>
          <w:szCs w:val="32"/>
          <w:lang w:val="en-US" w:eastAsia="zh-CN"/>
        </w:rPr>
        <w:t>3,744,000.00</w:t>
      </w:r>
      <w:r>
        <w:rPr>
          <w:rFonts w:hint="eastAsia" w:ascii="仿宋" w:hAnsi="仿宋" w:eastAsia="仿宋" w:cs="仿宋"/>
          <w:sz w:val="32"/>
          <w:szCs w:val="32"/>
        </w:rPr>
        <w:t>元，预算追加</w:t>
      </w:r>
      <w:r>
        <w:rPr>
          <w:rFonts w:hint="eastAsia" w:ascii="仿宋" w:hAnsi="仿宋" w:eastAsia="仿宋" w:cs="仿宋"/>
          <w:sz w:val="32"/>
          <w:szCs w:val="32"/>
          <w:lang w:val="en-US" w:eastAsia="zh-CN"/>
        </w:rPr>
        <w:t>3,084,029.00</w:t>
      </w:r>
      <w:r>
        <w:rPr>
          <w:rFonts w:hint="eastAsia" w:ascii="仿宋" w:hAnsi="仿宋" w:eastAsia="仿宋" w:cs="仿宋"/>
          <w:sz w:val="32"/>
          <w:szCs w:val="32"/>
        </w:rPr>
        <w:t>元，预算结余</w:t>
      </w:r>
      <w:r>
        <w:rPr>
          <w:rFonts w:hint="eastAsia" w:ascii="仿宋" w:hAnsi="仿宋" w:eastAsia="仿宋" w:cs="仿宋"/>
          <w:sz w:val="32"/>
          <w:szCs w:val="32"/>
          <w:lang w:val="en-US" w:eastAsia="zh-CN"/>
        </w:rPr>
        <w:t>1,423,439.78</w:t>
      </w:r>
      <w:r>
        <w:rPr>
          <w:rFonts w:hint="eastAsia" w:ascii="仿宋" w:hAnsi="仿宋" w:eastAsia="仿宋" w:cs="仿宋"/>
          <w:sz w:val="32"/>
          <w:szCs w:val="32"/>
        </w:rPr>
        <w:t>元</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contextualSpacing/>
        <w:jc w:val="both"/>
        <w:textAlignment w:val="auto"/>
        <w:rPr>
          <w:rFonts w:hint="eastAsia" w:ascii="仿宋" w:hAnsi="仿宋" w:eastAsia="仿宋" w:cs="仿宋"/>
          <w:sz w:val="32"/>
          <w:szCs w:val="32"/>
        </w:rPr>
      </w:pPr>
      <w:r>
        <w:rPr>
          <w:rFonts w:hint="eastAsia" w:ascii="仿宋" w:hAnsi="仿宋" w:eastAsia="仿宋" w:cs="仿宋"/>
          <w:sz w:val="32"/>
          <w:szCs w:val="32"/>
        </w:rPr>
        <w:t>④20</w:t>
      </w:r>
      <w:r>
        <w:rPr>
          <w:rFonts w:hint="eastAsia" w:ascii="仿宋" w:hAnsi="仿宋" w:eastAsia="仿宋" w:cs="仿宋"/>
          <w:sz w:val="32"/>
          <w:szCs w:val="32"/>
          <w:lang w:val="en-US" w:eastAsia="zh-CN"/>
        </w:rPr>
        <w:t>21</w:t>
      </w:r>
      <w:r>
        <w:rPr>
          <w:rFonts w:hint="eastAsia" w:ascii="仿宋" w:hAnsi="仿宋" w:eastAsia="仿宋" w:cs="仿宋"/>
          <w:sz w:val="32"/>
          <w:szCs w:val="32"/>
        </w:rPr>
        <w:t>年</w:t>
      </w:r>
      <w:r>
        <w:rPr>
          <w:rFonts w:hint="eastAsia" w:ascii="仿宋" w:hAnsi="仿宋" w:eastAsia="仿宋" w:cs="仿宋"/>
          <w:sz w:val="32"/>
          <w:szCs w:val="32"/>
          <w:lang w:val="en-US" w:eastAsia="zh-CN"/>
        </w:rPr>
        <w:t>,市粮食质量监测站</w:t>
      </w:r>
      <w:r>
        <w:rPr>
          <w:rFonts w:hint="eastAsia" w:ascii="仿宋" w:hAnsi="仿宋" w:eastAsia="仿宋" w:cs="仿宋"/>
          <w:sz w:val="32"/>
          <w:szCs w:val="32"/>
        </w:rPr>
        <w:t>年度预算总额</w:t>
      </w:r>
      <w:r>
        <w:rPr>
          <w:rFonts w:hint="eastAsia" w:ascii="仿宋" w:hAnsi="仿宋" w:eastAsia="仿宋" w:cs="仿宋"/>
          <w:sz w:val="32"/>
          <w:szCs w:val="32"/>
          <w:lang w:val="en-US" w:eastAsia="zh-CN"/>
        </w:rPr>
        <w:t>1,800,073.00</w:t>
      </w:r>
      <w:r>
        <w:rPr>
          <w:rFonts w:hint="eastAsia" w:ascii="仿宋" w:hAnsi="仿宋" w:eastAsia="仿宋" w:cs="仿宋"/>
          <w:sz w:val="32"/>
          <w:szCs w:val="32"/>
        </w:rPr>
        <w:t>元，其中：上年结转</w:t>
      </w:r>
      <w:r>
        <w:rPr>
          <w:rFonts w:hint="eastAsia" w:ascii="仿宋" w:hAnsi="仿宋" w:eastAsia="仿宋" w:cs="仿宋"/>
          <w:sz w:val="32"/>
          <w:szCs w:val="32"/>
          <w:lang w:val="en-US" w:eastAsia="zh-CN"/>
        </w:rPr>
        <w:t>0.00</w:t>
      </w:r>
      <w:r>
        <w:rPr>
          <w:rFonts w:hint="eastAsia" w:ascii="仿宋" w:hAnsi="仿宋" w:eastAsia="仿宋" w:cs="仿宋"/>
          <w:sz w:val="32"/>
          <w:szCs w:val="32"/>
        </w:rPr>
        <w:t>元，年初预算</w:t>
      </w:r>
      <w:r>
        <w:rPr>
          <w:rFonts w:hint="eastAsia" w:ascii="仿宋" w:hAnsi="仿宋" w:eastAsia="仿宋" w:cs="仿宋"/>
          <w:sz w:val="32"/>
          <w:szCs w:val="32"/>
          <w:lang w:val="en-US" w:eastAsia="zh-CN"/>
        </w:rPr>
        <w:t>1,301,000.00</w:t>
      </w:r>
      <w:r>
        <w:rPr>
          <w:rFonts w:hint="eastAsia" w:ascii="仿宋" w:hAnsi="仿宋" w:eastAsia="仿宋" w:cs="仿宋"/>
          <w:sz w:val="32"/>
          <w:szCs w:val="32"/>
        </w:rPr>
        <w:t>元，预算追加</w:t>
      </w:r>
      <w:r>
        <w:rPr>
          <w:rFonts w:hint="eastAsia" w:ascii="仿宋" w:hAnsi="仿宋" w:eastAsia="仿宋" w:cs="仿宋"/>
          <w:sz w:val="32"/>
          <w:szCs w:val="32"/>
          <w:lang w:val="en-US" w:eastAsia="zh-CN"/>
        </w:rPr>
        <w:t>499,073.00</w:t>
      </w:r>
      <w:r>
        <w:rPr>
          <w:rFonts w:hint="eastAsia" w:ascii="仿宋" w:hAnsi="仿宋" w:eastAsia="仿宋" w:cs="仿宋"/>
          <w:sz w:val="32"/>
          <w:szCs w:val="32"/>
        </w:rPr>
        <w:t>元，预算结余</w:t>
      </w:r>
      <w:r>
        <w:rPr>
          <w:rFonts w:hint="eastAsia" w:ascii="仿宋" w:hAnsi="仿宋" w:eastAsia="仿宋" w:cs="仿宋"/>
          <w:sz w:val="32"/>
          <w:szCs w:val="32"/>
          <w:lang w:val="en-US" w:eastAsia="zh-CN"/>
        </w:rPr>
        <w:t>0.00</w:t>
      </w:r>
      <w:r>
        <w:rPr>
          <w:rFonts w:hint="eastAsia" w:ascii="仿宋" w:hAnsi="仿宋" w:eastAsia="仿宋" w:cs="仿宋"/>
          <w:sz w:val="32"/>
          <w:szCs w:val="32"/>
        </w:rPr>
        <w:t>元</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contextualSpacing/>
        <w:jc w:val="both"/>
        <w:textAlignment w:val="auto"/>
        <w:rPr>
          <w:rFonts w:hint="eastAsia" w:ascii="仿宋" w:hAnsi="仿宋" w:eastAsia="仿宋" w:cs="仿宋"/>
          <w:sz w:val="32"/>
          <w:szCs w:val="32"/>
        </w:rPr>
      </w:pPr>
      <w:r>
        <w:rPr>
          <w:rFonts w:hint="eastAsia" w:ascii="仿宋" w:hAnsi="仿宋" w:eastAsia="仿宋" w:cs="仿宋"/>
          <w:sz w:val="32"/>
          <w:szCs w:val="32"/>
        </w:rPr>
        <w:t>2.预算执行。</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contextualSpacing/>
        <w:jc w:val="both"/>
        <w:textAlignment w:val="auto"/>
        <w:rPr>
          <w:rFonts w:hint="eastAsia" w:ascii="仿宋" w:hAnsi="仿宋" w:eastAsia="仿宋" w:cs="仿宋"/>
          <w:sz w:val="32"/>
          <w:szCs w:val="32"/>
        </w:rPr>
      </w:pPr>
      <w:r>
        <w:rPr>
          <w:rFonts w:hint="eastAsia" w:ascii="仿宋" w:hAnsi="仿宋" w:eastAsia="仿宋" w:cs="仿宋"/>
          <w:sz w:val="32"/>
          <w:szCs w:val="32"/>
        </w:rPr>
        <w:t>（1）支出控制。</w:t>
      </w:r>
      <w:r>
        <w:rPr>
          <w:rFonts w:hint="eastAsia" w:ascii="仿宋" w:hAnsi="仿宋" w:eastAsia="仿宋" w:cs="仿宋"/>
          <w:sz w:val="32"/>
          <w:szCs w:val="32"/>
          <w:lang w:val="en-US" w:eastAsia="zh-CN"/>
        </w:rPr>
        <w:t>2021年度</w:t>
      </w:r>
      <w:r>
        <w:rPr>
          <w:rFonts w:hint="eastAsia" w:ascii="仿宋" w:hAnsi="仿宋" w:eastAsia="仿宋" w:cs="仿宋"/>
          <w:sz w:val="32"/>
          <w:szCs w:val="32"/>
          <w:shd w:val="clear" w:color="auto" w:fill="auto"/>
          <w:lang w:val="en-US" w:eastAsia="zh-CN"/>
        </w:rPr>
        <w:t>支出控制较好</w:t>
      </w:r>
      <w:r>
        <w:rPr>
          <w:rFonts w:hint="eastAsia" w:ascii="仿宋" w:hAnsi="仿宋" w:eastAsia="仿宋" w:cs="仿宋"/>
          <w:sz w:val="32"/>
          <w:szCs w:val="32"/>
          <w:shd w:val="clear" w:color="auto" w:fill="auto"/>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contextualSpacing/>
        <w:jc w:val="both"/>
        <w:textAlignment w:val="auto"/>
        <w:rPr>
          <w:rFonts w:hint="eastAsia" w:ascii="仿宋" w:hAnsi="仿宋" w:eastAsia="仿宋" w:cs="仿宋"/>
          <w:sz w:val="32"/>
          <w:szCs w:val="32"/>
        </w:rPr>
      </w:pPr>
      <w:r>
        <w:rPr>
          <w:rFonts w:hint="eastAsia" w:ascii="仿宋" w:hAnsi="仿宋" w:eastAsia="仿宋" w:cs="仿宋"/>
          <w:sz w:val="32"/>
          <w:szCs w:val="32"/>
        </w:rPr>
        <w:t>（2）动态调整。20</w:t>
      </w:r>
      <w:r>
        <w:rPr>
          <w:rFonts w:hint="eastAsia" w:ascii="仿宋" w:hAnsi="仿宋" w:eastAsia="仿宋" w:cs="仿宋"/>
          <w:sz w:val="32"/>
          <w:szCs w:val="32"/>
          <w:lang w:val="en-US" w:eastAsia="zh-CN"/>
        </w:rPr>
        <w:t>21</w:t>
      </w:r>
      <w:r>
        <w:rPr>
          <w:rFonts w:hint="eastAsia" w:ascii="仿宋" w:hAnsi="仿宋" w:eastAsia="仿宋" w:cs="仿宋"/>
          <w:sz w:val="32"/>
          <w:szCs w:val="32"/>
        </w:rPr>
        <w:t>年，市</w:t>
      </w:r>
      <w:r>
        <w:rPr>
          <w:rFonts w:hint="eastAsia" w:ascii="仿宋" w:hAnsi="仿宋" w:eastAsia="仿宋" w:cs="仿宋"/>
          <w:sz w:val="32"/>
          <w:szCs w:val="32"/>
          <w:lang w:eastAsia="zh-CN"/>
        </w:rPr>
        <w:t>发改委</w:t>
      </w:r>
      <w:r>
        <w:rPr>
          <w:rFonts w:hint="eastAsia" w:ascii="仿宋" w:hAnsi="仿宋" w:eastAsia="仿宋" w:cs="仿宋"/>
          <w:sz w:val="32"/>
          <w:szCs w:val="32"/>
        </w:rPr>
        <w:t>无支付业务异常提示和部门绩效监控调整取消预算情况。</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contextualSpacing/>
        <w:jc w:val="both"/>
        <w:textAlignment w:val="auto"/>
        <w:rPr>
          <w:rFonts w:hint="eastAsia" w:ascii="仿宋" w:hAnsi="仿宋" w:eastAsia="仿宋" w:cs="仿宋"/>
          <w:sz w:val="32"/>
          <w:szCs w:val="32"/>
        </w:rPr>
      </w:pPr>
      <w:r>
        <w:rPr>
          <w:rFonts w:hint="eastAsia" w:ascii="仿宋" w:hAnsi="仿宋" w:eastAsia="仿宋" w:cs="仿宋"/>
          <w:sz w:val="32"/>
          <w:szCs w:val="32"/>
        </w:rPr>
        <w:t>3.完成结果。</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contextualSpacing/>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rPr>
        <w:t>（1）预算完成。20</w:t>
      </w:r>
      <w:r>
        <w:rPr>
          <w:rFonts w:hint="eastAsia" w:ascii="仿宋" w:hAnsi="仿宋" w:eastAsia="仿宋" w:cs="仿宋"/>
          <w:sz w:val="32"/>
          <w:szCs w:val="32"/>
          <w:lang w:val="en-US" w:eastAsia="zh-CN"/>
        </w:rPr>
        <w:t>21</w:t>
      </w:r>
      <w:r>
        <w:rPr>
          <w:rFonts w:hint="eastAsia" w:ascii="仿宋" w:hAnsi="仿宋" w:eastAsia="仿宋" w:cs="仿宋"/>
          <w:sz w:val="32"/>
          <w:szCs w:val="32"/>
        </w:rPr>
        <w:t>年，市</w:t>
      </w:r>
      <w:r>
        <w:rPr>
          <w:rFonts w:hint="eastAsia" w:ascii="仿宋" w:hAnsi="仿宋" w:eastAsia="仿宋" w:cs="仿宋"/>
          <w:sz w:val="32"/>
          <w:szCs w:val="32"/>
          <w:lang w:eastAsia="zh-CN"/>
        </w:rPr>
        <w:t>发改委</w:t>
      </w:r>
      <w:r>
        <w:rPr>
          <w:rFonts w:hint="eastAsia" w:ascii="仿宋" w:hAnsi="仿宋" w:eastAsia="仿宋" w:cs="仿宋"/>
          <w:sz w:val="32"/>
          <w:szCs w:val="32"/>
        </w:rPr>
        <w:t>全年预算</w:t>
      </w:r>
      <w:r>
        <w:rPr>
          <w:rFonts w:hint="eastAsia" w:ascii="仿宋" w:hAnsi="仿宋" w:eastAsia="仿宋" w:cs="仿宋"/>
          <w:sz w:val="32"/>
          <w:szCs w:val="32"/>
          <w:lang w:val="en-US" w:eastAsia="zh-CN"/>
        </w:rPr>
        <w:t>67,196,823.38</w:t>
      </w:r>
      <w:r>
        <w:rPr>
          <w:rFonts w:hint="eastAsia" w:ascii="仿宋" w:hAnsi="仿宋" w:eastAsia="仿宋" w:cs="仿宋"/>
          <w:sz w:val="32"/>
          <w:szCs w:val="32"/>
        </w:rPr>
        <w:t>元，实际经费支出</w:t>
      </w:r>
      <w:r>
        <w:rPr>
          <w:rFonts w:hint="eastAsia" w:ascii="仿宋" w:hAnsi="仿宋" w:eastAsia="仿宋" w:cs="仿宋"/>
          <w:sz w:val="32"/>
          <w:szCs w:val="32"/>
          <w:lang w:val="en-US" w:eastAsia="zh-CN"/>
        </w:rPr>
        <w:t>66,659,891.84</w:t>
      </w:r>
      <w:r>
        <w:rPr>
          <w:rFonts w:hint="eastAsia" w:ascii="仿宋" w:hAnsi="仿宋" w:eastAsia="仿宋" w:cs="仿宋"/>
          <w:sz w:val="32"/>
          <w:szCs w:val="32"/>
        </w:rPr>
        <w:t>元，结转下年</w:t>
      </w:r>
      <w:r>
        <w:rPr>
          <w:rFonts w:hint="eastAsia" w:ascii="仿宋" w:hAnsi="仿宋" w:eastAsia="仿宋" w:cs="仿宋"/>
          <w:sz w:val="32"/>
          <w:szCs w:val="32"/>
          <w:lang w:val="en-US" w:eastAsia="zh-CN"/>
        </w:rPr>
        <w:t>536,931.54</w:t>
      </w:r>
      <w:r>
        <w:rPr>
          <w:rFonts w:hint="eastAsia" w:ascii="仿宋" w:hAnsi="仿宋" w:eastAsia="仿宋" w:cs="仿宋"/>
          <w:sz w:val="32"/>
          <w:szCs w:val="32"/>
        </w:rPr>
        <w:t>元，年终预算执行进度为</w:t>
      </w:r>
      <w:r>
        <w:rPr>
          <w:rFonts w:hint="eastAsia" w:ascii="仿宋" w:hAnsi="仿宋" w:eastAsia="仿宋" w:cs="仿宋"/>
          <w:sz w:val="32"/>
          <w:szCs w:val="32"/>
          <w:lang w:val="en-US" w:eastAsia="zh-CN"/>
        </w:rPr>
        <w:t>99.20</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市军粮供应管理中心全年预算2,056,539.00</w:t>
      </w:r>
      <w:r>
        <w:rPr>
          <w:rFonts w:hint="eastAsia" w:ascii="仿宋" w:hAnsi="仿宋" w:eastAsia="仿宋" w:cs="仿宋"/>
          <w:sz w:val="32"/>
          <w:szCs w:val="32"/>
        </w:rPr>
        <w:t>元，</w:t>
      </w:r>
      <w:r>
        <w:rPr>
          <w:rFonts w:hint="eastAsia" w:ascii="仿宋" w:hAnsi="仿宋" w:eastAsia="仿宋" w:cs="仿宋"/>
          <w:sz w:val="32"/>
          <w:szCs w:val="32"/>
          <w:lang w:val="en-US" w:eastAsia="zh-CN"/>
        </w:rPr>
        <w:t>支出1,646,579.00元，结转下年409,960.00元，年终预算执行进度为80.07%；</w:t>
      </w:r>
      <w:r>
        <w:rPr>
          <w:rFonts w:hint="eastAsia" w:ascii="仿宋" w:hAnsi="仿宋" w:eastAsia="仿宋" w:cs="仿宋"/>
          <w:sz w:val="32"/>
          <w:szCs w:val="32"/>
        </w:rPr>
        <w:t>市</w:t>
      </w:r>
      <w:r>
        <w:rPr>
          <w:rFonts w:hint="eastAsia" w:ascii="仿宋" w:hAnsi="仿宋" w:eastAsia="仿宋" w:cs="仿宋"/>
          <w:sz w:val="32"/>
          <w:szCs w:val="32"/>
          <w:lang w:val="en-US" w:eastAsia="zh-CN"/>
        </w:rPr>
        <w:t>应急物资储备中心全年预算6,828,029.00元，支出5,404,589.22元，结转下年1,423,439.78元，年终预算执行进度为79.15%；市粮食质量监测站全年预算1,800,073.00元，支出1,800,073.00元，结转下年0.00元，年终预算执行进度为100%。</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contextualSpacing/>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（2）违规记录。2021年度，审计、财政未对市发改委开展专项审计和财政监督检查，该项指标不涉及。</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contextualSpacing/>
        <w:jc w:val="both"/>
        <w:textAlignment w:val="auto"/>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（二）</w:t>
      </w:r>
      <w:r>
        <w:rPr>
          <w:rFonts w:hint="eastAsia" w:ascii="仿宋" w:hAnsi="仿宋" w:eastAsia="仿宋" w:cs="仿宋"/>
          <w:sz w:val="32"/>
          <w:szCs w:val="32"/>
          <w:lang w:val="en-US" w:eastAsia="zh-CN"/>
        </w:rPr>
        <w:t>综合绩效情况</w:t>
      </w:r>
      <w:r>
        <w:rPr>
          <w:rFonts w:hint="eastAsia" w:ascii="仿宋" w:hAnsi="仿宋" w:eastAsia="仿宋" w:cs="仿宋"/>
          <w:sz w:val="32"/>
          <w:szCs w:val="32"/>
          <w:lang w:val="zh-CN"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contextualSpacing/>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常态化抓好疫情防控，认真落实有效应对疫情稳定经济运行9条、支持中小企业渡过难关8条等政策，全力以赴保供稳价，加强市场价格监测，有效组织商品供应；做好机场、火车站等重点场所和冷链物流等重点环节疫情防控工作。全市地区生产总值同比增长3.3%，保持在合理区间；全社会固定资产投资同比下降18.7%，控制在底线目标之内，投资率下降至0.93；争取中央、省预算内资金20.849亿元，超年度目标任务39%；争取地方政府专项债券35.62亿元。突破发展县域经济，坚持全市“一盘棋”，突出县区“1+3”主导产业和“2+2”主攻方向，积极支持突破发展文旅康养、食品饮料、生物医药、新能源新材料产业集群，引导各县区差异化、特色化发展。</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contextualSpacing/>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牵头编制《巴中市国民经济和社会发展第十四个五年规划和二〇三五年远景目标纲要》，衔接审查重点专项规划17个、一般专项规划7个、专项实施方案2个；细化分解“十四五”规划纲要目标指标、重点事项和责任单位，建立健全推进机制，加快推动任务落地落实。把握国省投资投向，围绕《国务院关于新时代支持革命老区振兴发展的意见》8个领域争取支持事项43项；“十四五”特殊类型地区振兴发展规划将巴中确定为四川唯一、川陕革命老区唯一的全国12个革命老区重点城市，70余个（类）项目纳入相关规划；先后梳理争取支持革命老区重大项目676个、重大政策28项、重大事项33项，一大批重大政策、重点项目、重要平台挤进国省规划。</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contextualSpacing/>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深入实施“重大项目推进年”部署，严格落实领导挂联项目、季度推进会和“红黑榜”等机制，严把项目申报、审批、实施、监管四关，公平公正评选“十大蜗牛项目”，项目管理水平得到进一步提升。2021年新增储备项目1473个，估算总投2972.39亿元；11个省级重点项目全年投资完成率133.7%，306个市级重点项目投资完成率123.1%，70个挂牌推进项目投资完成率126.2%，均创历史新高。汉巴南铁路完成年度投资14.3亿元，占年度计划143%，巴中东站TOD项目顺利推进，广巴铁路扩能改造、汉巴南铁路汉中至巴中段、成都经巴中至安康铁路纳入省“十四五”川陕革命老区振兴发展规划，巴中—成都、巴中—重庆各增开直达动车3对；恩阳机场新增航线5条，累计通航16个城市；镇广高速王坪至通江段正式通车；天然气勘探新布勘探井13口，华能巴中燃机项目加快前期工作推进；老旧小区、棚户区改造和重点水利工程等重点项目加快推进，打基础利长远的重大事项推进成效明显。</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contextualSpacing/>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4.加强经济体制改革，要素市场化配置改革等8项全面完成，经济高质量发展等7项完成节点任务；制定巴中市“十四五”农业水价综合改革规划；推动燃煤发电上网电价市场化改革。</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contextualSpacing/>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w:t>
      </w:r>
      <w:bookmarkStart w:id="63" w:name="_Hlk96328766"/>
      <w:r>
        <w:rPr>
          <w:rFonts w:hint="eastAsia" w:ascii="仿宋" w:hAnsi="仿宋" w:eastAsia="仿宋" w:cs="仿宋"/>
          <w:sz w:val="32"/>
          <w:szCs w:val="32"/>
          <w:lang w:val="en-US" w:eastAsia="zh-CN"/>
        </w:rPr>
        <w:t>加强电力基础设施建设，</w:t>
      </w:r>
      <w:bookmarkEnd w:id="63"/>
      <w:r>
        <w:rPr>
          <w:rFonts w:hint="eastAsia" w:ascii="仿宋" w:hAnsi="仿宋" w:eastAsia="仿宋" w:cs="仿宋"/>
          <w:sz w:val="32"/>
          <w:szCs w:val="32"/>
          <w:lang w:val="en-US" w:eastAsia="zh-CN"/>
        </w:rPr>
        <w:t>完成电网投资5.73亿元；实施“十件民生实事”电力项目投资7256.51万元，实施“两项改革”后半篇文章电力项目 55个、投资8969万元，乡村振兴实施电力项目50个投资1.36亿元。全面落实粮食安全党政同责，轮换省级储备菜籽油1200吨，新增（重新核定）市、县区级储备粮油2.88万吨，补充12类231件套150万元水域救援装备物资，深入开展粮食购销领域腐败问题专项整治，加强价格管理，启动价格监测日报机制，落实“双减”政策拟定全市义务教育阶段学科类校外培训收费方案。完成自来水定价、停车收费、景区观光车、教育收费、乡镇污水处理等定价成本监审。</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contextualSpacing/>
        <w:jc w:val="both"/>
        <w:textAlignment w:val="auto"/>
        <w:rPr>
          <w:rFonts w:hint="default" w:ascii="仿宋" w:hAnsi="仿宋" w:eastAsia="仿宋" w:cs="仿宋"/>
          <w:lang w:val="en-US" w:eastAsia="zh-CN"/>
        </w:rPr>
      </w:pPr>
      <w:r>
        <w:rPr>
          <w:rFonts w:hint="eastAsia" w:ascii="仿宋" w:hAnsi="仿宋" w:eastAsia="仿宋" w:cs="仿宋"/>
          <w:sz w:val="32"/>
          <w:szCs w:val="32"/>
          <w:lang w:val="en-US" w:eastAsia="zh-CN"/>
        </w:rPr>
        <w:t>6.加强应急救灾物资储备。截止2021年，储备了帐篷846顶、棉被10526套、棉大衣2000件、棉衣裤3047套、棉鞋2320双、折叠床1000个、编织袋10000条、彩条布20000平方米等价值350万元生活生产类物资 及136种价值285万元抢险救灾类物资 ；采购完成2021年市级抢险救灾物资及装备项目150万元计划。</w:t>
      </w:r>
      <w:r>
        <w:rPr>
          <w:rFonts w:hint="eastAsia" w:ascii="仿宋" w:hAnsi="仿宋" w:eastAsia="仿宋" w:cs="仿宋"/>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ascii="黑体" w:hAnsi="宋体" w:eastAsia="黑体" w:cs="宋体"/>
          <w:color w:val="auto"/>
          <w:kern w:val="0"/>
          <w:sz w:val="32"/>
          <w:szCs w:val="32"/>
          <w:highlight w:val="none"/>
          <w:shd w:val="clear" w:color="auto" w:fill="FFFFFF"/>
        </w:rPr>
      </w:pPr>
      <w:r>
        <w:rPr>
          <w:rFonts w:hint="eastAsia" w:ascii="黑体" w:hAnsi="宋体" w:eastAsia="黑体" w:cs="宋体"/>
          <w:color w:val="auto"/>
          <w:kern w:val="0"/>
          <w:sz w:val="32"/>
          <w:szCs w:val="32"/>
          <w:highlight w:val="none"/>
          <w:shd w:val="clear" w:color="auto" w:fill="FFFFFF"/>
        </w:rPr>
        <w:t>四、评价结论及建议</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jc w:val="both"/>
        <w:textAlignment w:val="auto"/>
        <w:outlineLvl w:val="9"/>
        <w:rPr>
          <w:rFonts w:hint="eastAsia" w:ascii="仿宋" w:hAnsi="仿宋" w:eastAsia="仿宋" w:cs="仿宋"/>
          <w:sz w:val="32"/>
          <w:szCs w:val="32"/>
          <w:lang w:val="zh-CN"/>
        </w:rPr>
      </w:pPr>
      <w:r>
        <w:rPr>
          <w:rFonts w:hint="eastAsia" w:ascii="仿宋" w:hAnsi="仿宋" w:eastAsia="仿宋" w:cs="仿宋"/>
          <w:sz w:val="32"/>
          <w:szCs w:val="32"/>
          <w:lang w:val="zh-CN"/>
        </w:rPr>
        <w:t>（一）评价结论。</w:t>
      </w:r>
    </w:p>
    <w:p>
      <w:pPr>
        <w:keepNext w:val="0"/>
        <w:keepLines w:val="0"/>
        <w:pageBreakBefore w:val="0"/>
        <w:widowControl w:val="0"/>
        <w:tabs>
          <w:tab w:val="left" w:pos="3885"/>
        </w:tabs>
        <w:kinsoku/>
        <w:wordWrap/>
        <w:overflowPunct/>
        <w:topLinePunct w:val="0"/>
        <w:autoSpaceDE/>
        <w:autoSpaceDN/>
        <w:bidi w:val="0"/>
        <w:snapToGrid w:val="0"/>
        <w:spacing w:line="500" w:lineRule="exact"/>
        <w:ind w:firstLine="640" w:firstLineChars="200"/>
        <w:jc w:val="both"/>
        <w:textAlignment w:val="auto"/>
        <w:rPr>
          <w:rFonts w:hint="eastAsia" w:ascii="仿宋" w:hAnsi="仿宋" w:eastAsia="仿宋" w:cs="仿宋"/>
          <w:sz w:val="32"/>
          <w:szCs w:val="32"/>
          <w:lang w:val="zh-CN"/>
        </w:rPr>
      </w:pPr>
      <w:r>
        <w:rPr>
          <w:rFonts w:hint="eastAsia" w:ascii="仿宋" w:hAnsi="仿宋" w:eastAsia="仿宋" w:cs="仿宋"/>
          <w:sz w:val="32"/>
          <w:szCs w:val="32"/>
        </w:rPr>
        <w:t>总体上看，20</w:t>
      </w:r>
      <w:r>
        <w:rPr>
          <w:rFonts w:hint="eastAsia" w:ascii="仿宋" w:hAnsi="仿宋" w:eastAsia="仿宋" w:cs="仿宋"/>
          <w:sz w:val="32"/>
          <w:szCs w:val="32"/>
          <w:lang w:val="en-US" w:eastAsia="zh-CN"/>
        </w:rPr>
        <w:t>21</w:t>
      </w:r>
      <w:r>
        <w:rPr>
          <w:rFonts w:hint="eastAsia" w:ascii="仿宋" w:hAnsi="仿宋" w:eastAsia="仿宋" w:cs="仿宋"/>
          <w:sz w:val="32"/>
          <w:szCs w:val="32"/>
        </w:rPr>
        <w:t>年度，市</w:t>
      </w:r>
      <w:r>
        <w:rPr>
          <w:rFonts w:hint="eastAsia" w:ascii="仿宋" w:hAnsi="仿宋" w:eastAsia="仿宋" w:cs="仿宋"/>
          <w:sz w:val="32"/>
          <w:szCs w:val="32"/>
          <w:lang w:eastAsia="zh-CN"/>
        </w:rPr>
        <w:t>发改委</w:t>
      </w:r>
      <w:r>
        <w:rPr>
          <w:rFonts w:hint="eastAsia" w:ascii="仿宋" w:hAnsi="仿宋" w:eastAsia="仿宋" w:cs="仿宋"/>
          <w:sz w:val="32"/>
          <w:szCs w:val="32"/>
        </w:rPr>
        <w:t>在市委市政府的领导下，</w:t>
      </w:r>
      <w:r>
        <w:rPr>
          <w:rFonts w:hint="eastAsia" w:ascii="仿宋" w:hAnsi="仿宋" w:eastAsia="仿宋" w:cs="仿宋"/>
          <w:color w:val="000000"/>
          <w:sz w:val="32"/>
          <w:szCs w:val="32"/>
        </w:rPr>
        <w:t>紧紧</w:t>
      </w:r>
      <w:r>
        <w:rPr>
          <w:rFonts w:hint="eastAsia" w:ascii="仿宋" w:hAnsi="仿宋" w:eastAsia="仿宋" w:cs="仿宋"/>
          <w:color w:val="000000"/>
          <w:sz w:val="32"/>
          <w:szCs w:val="32"/>
          <w:lang w:eastAsia="zh-CN"/>
        </w:rPr>
        <w:t>围绕</w:t>
      </w:r>
      <w:r>
        <w:rPr>
          <w:rFonts w:hint="eastAsia" w:ascii="仿宋" w:hAnsi="仿宋" w:eastAsia="仿宋" w:cs="仿宋"/>
        </w:rPr>
        <w:t>全市发展改革工作</w:t>
      </w:r>
      <w:r>
        <w:rPr>
          <w:rFonts w:hint="eastAsia" w:ascii="仿宋" w:hAnsi="仿宋" w:eastAsia="仿宋" w:cs="仿宋"/>
          <w:lang w:eastAsia="zh-CN"/>
        </w:rPr>
        <w:t>，确保</w:t>
      </w:r>
      <w:r>
        <w:rPr>
          <w:rFonts w:hint="eastAsia" w:ascii="仿宋" w:hAnsi="仿宋" w:eastAsia="仿宋" w:cs="仿宋"/>
          <w:color w:val="000000"/>
          <w:spacing w:val="0"/>
          <w:w w:val="100"/>
          <w:position w:val="0"/>
        </w:rPr>
        <w:t>全市粮食和物资储备</w:t>
      </w:r>
      <w:r>
        <w:rPr>
          <w:rFonts w:hint="eastAsia" w:ascii="仿宋" w:hAnsi="仿宋" w:eastAsia="仿宋" w:cs="仿宋"/>
          <w:color w:val="000000"/>
          <w:spacing w:val="0"/>
          <w:w w:val="100"/>
          <w:position w:val="0"/>
          <w:lang w:eastAsia="zh-CN"/>
        </w:rPr>
        <w:t>；</w:t>
      </w:r>
      <w:r>
        <w:rPr>
          <w:rFonts w:hint="eastAsia" w:ascii="仿宋" w:hAnsi="仿宋" w:eastAsia="仿宋" w:cs="仿宋"/>
          <w:color w:val="000000"/>
          <w:spacing w:val="0"/>
          <w:w w:val="100"/>
          <w:position w:val="0"/>
        </w:rPr>
        <w:t>全市重大规划、重大政策、重大工程评估督导</w:t>
      </w:r>
      <w:r>
        <w:rPr>
          <w:rFonts w:hint="eastAsia" w:ascii="仿宋" w:hAnsi="仿宋" w:eastAsia="仿宋" w:cs="仿宋"/>
          <w:color w:val="000000"/>
          <w:spacing w:val="0"/>
          <w:w w:val="100"/>
          <w:position w:val="0"/>
          <w:lang w:eastAsia="zh-CN"/>
        </w:rPr>
        <w:t>；</w:t>
      </w:r>
      <w:r>
        <w:rPr>
          <w:rFonts w:hint="eastAsia" w:ascii="仿宋" w:hAnsi="仿宋" w:eastAsia="仿宋" w:cs="仿宋"/>
          <w:color w:val="000000"/>
          <w:spacing w:val="0"/>
          <w:w w:val="100"/>
          <w:position w:val="0"/>
        </w:rPr>
        <w:t>职责范围内的安全生产和职业健康、生态环境保护、审批服务便民化等</w:t>
      </w:r>
      <w:r>
        <w:rPr>
          <w:rFonts w:hint="eastAsia" w:ascii="仿宋" w:hAnsi="仿宋" w:eastAsia="仿宋" w:cs="仿宋"/>
          <w:color w:val="000000"/>
          <w:sz w:val="32"/>
          <w:szCs w:val="32"/>
        </w:rPr>
        <w:t>职能职责</w:t>
      </w:r>
      <w:r>
        <w:rPr>
          <w:rFonts w:hint="eastAsia" w:ascii="仿宋" w:hAnsi="仿宋" w:eastAsia="仿宋" w:cs="仿宋"/>
          <w:sz w:val="32"/>
          <w:szCs w:val="32"/>
        </w:rPr>
        <w:t>，建立健全内部控制制度，强化预算编制，加强财务管理，较好地完成了部门整体绩效目标。部门整体绩效评价</w:t>
      </w:r>
      <w:r>
        <w:rPr>
          <w:rFonts w:hint="eastAsia" w:ascii="仿宋" w:hAnsi="仿宋" w:eastAsia="仿宋" w:cs="仿宋"/>
          <w:sz w:val="32"/>
          <w:szCs w:val="32"/>
          <w:lang w:val="en-US" w:eastAsia="zh-CN"/>
        </w:rPr>
        <w:t>自评</w:t>
      </w:r>
      <w:r>
        <w:rPr>
          <w:rFonts w:hint="eastAsia" w:ascii="仿宋" w:hAnsi="仿宋" w:eastAsia="仿宋" w:cs="仿宋"/>
          <w:sz w:val="32"/>
          <w:szCs w:val="32"/>
        </w:rPr>
        <w:t>得分</w:t>
      </w:r>
      <w:r>
        <w:rPr>
          <w:rFonts w:hint="eastAsia" w:ascii="仿宋" w:hAnsi="仿宋" w:eastAsia="仿宋" w:cs="仿宋"/>
          <w:sz w:val="32"/>
          <w:szCs w:val="32"/>
          <w:lang w:val="en-US" w:eastAsia="zh-CN"/>
        </w:rPr>
        <w:t>96</w:t>
      </w:r>
      <w:r>
        <w:rPr>
          <w:rFonts w:hint="eastAsia" w:ascii="仿宋" w:hAnsi="仿宋" w:eastAsia="仿宋" w:cs="仿宋"/>
          <w:sz w:val="32"/>
          <w:szCs w:val="32"/>
        </w:rPr>
        <w:t>分（详见附件：20</w:t>
      </w:r>
      <w:r>
        <w:rPr>
          <w:rFonts w:hint="eastAsia" w:ascii="仿宋" w:hAnsi="仿宋" w:eastAsia="仿宋" w:cs="仿宋"/>
          <w:sz w:val="32"/>
          <w:szCs w:val="32"/>
          <w:lang w:val="en-US" w:eastAsia="zh-CN"/>
        </w:rPr>
        <w:t>21</w:t>
      </w:r>
      <w:r>
        <w:rPr>
          <w:rFonts w:hint="eastAsia" w:ascii="仿宋" w:hAnsi="仿宋" w:eastAsia="仿宋" w:cs="仿宋"/>
          <w:sz w:val="32"/>
          <w:szCs w:val="32"/>
        </w:rPr>
        <w:t>年</w:t>
      </w:r>
      <w:r>
        <w:rPr>
          <w:rFonts w:hint="eastAsia" w:ascii="仿宋" w:hAnsi="仿宋" w:eastAsia="仿宋" w:cs="仿宋"/>
          <w:sz w:val="32"/>
          <w:szCs w:val="32"/>
          <w:lang w:val="en-US" w:eastAsia="zh-CN"/>
        </w:rPr>
        <w:t>市发改委</w:t>
      </w:r>
      <w:r>
        <w:rPr>
          <w:rFonts w:hint="eastAsia" w:ascii="仿宋" w:hAnsi="仿宋" w:eastAsia="仿宋" w:cs="仿宋"/>
          <w:sz w:val="32"/>
          <w:szCs w:val="32"/>
        </w:rPr>
        <w:t>部门整体支出绩效评价打分表）。</w:t>
      </w:r>
    </w:p>
    <w:p>
      <w:pPr>
        <w:keepNext w:val="0"/>
        <w:keepLines w:val="0"/>
        <w:pageBreakBefore w:val="0"/>
        <w:widowControl w:val="0"/>
        <w:numPr>
          <w:ilvl w:val="0"/>
          <w:numId w:val="0"/>
        </w:numPr>
        <w:kinsoku/>
        <w:wordWrap/>
        <w:overflowPunct/>
        <w:topLinePunct w:val="0"/>
        <w:autoSpaceDE/>
        <w:autoSpaceDN/>
        <w:bidi w:val="0"/>
        <w:adjustRightInd/>
        <w:spacing w:line="500" w:lineRule="exact"/>
        <w:ind w:right="0" w:rightChars="0" w:firstLine="640" w:firstLineChars="200"/>
        <w:jc w:val="both"/>
        <w:textAlignment w:val="auto"/>
        <w:outlineLvl w:val="9"/>
        <w:rPr>
          <w:rFonts w:hint="eastAsia" w:ascii="仿宋" w:hAnsi="仿宋" w:eastAsia="仿宋" w:cs="仿宋"/>
          <w:sz w:val="32"/>
          <w:szCs w:val="32"/>
          <w:lang w:val="zh-CN"/>
        </w:rPr>
      </w:pPr>
      <w:r>
        <w:rPr>
          <w:rFonts w:hint="eastAsia" w:ascii="仿宋" w:hAnsi="仿宋" w:eastAsia="仿宋" w:cs="仿宋"/>
          <w:sz w:val="32"/>
          <w:szCs w:val="32"/>
          <w:lang w:val="zh-CN"/>
        </w:rPr>
        <w:t>（二）存在问题。</w:t>
      </w:r>
    </w:p>
    <w:p>
      <w:pPr>
        <w:keepNext w:val="0"/>
        <w:keepLines w:val="0"/>
        <w:pageBreakBefore w:val="0"/>
        <w:widowControl w:val="0"/>
        <w:tabs>
          <w:tab w:val="left" w:pos="3885"/>
        </w:tabs>
        <w:kinsoku/>
        <w:wordWrap/>
        <w:overflowPunct/>
        <w:topLinePunct w:val="0"/>
        <w:autoSpaceDE/>
        <w:autoSpaceDN/>
        <w:bidi w:val="0"/>
        <w:snapToGrid w:val="0"/>
        <w:spacing w:line="5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1.绩效目标申报表的填写不是很完整，绩效目标的设置不是很清晰和可衡量；</w:t>
      </w:r>
    </w:p>
    <w:p>
      <w:pPr>
        <w:keepNext w:val="0"/>
        <w:keepLines w:val="0"/>
        <w:pageBreakBefore w:val="0"/>
        <w:widowControl w:val="0"/>
        <w:tabs>
          <w:tab w:val="left" w:pos="3885"/>
        </w:tabs>
        <w:kinsoku/>
        <w:wordWrap/>
        <w:overflowPunct/>
        <w:topLinePunct w:val="0"/>
        <w:autoSpaceDE/>
        <w:autoSpaceDN/>
        <w:bidi w:val="0"/>
        <w:snapToGrid w:val="0"/>
        <w:spacing w:line="5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2.对绩效评价工作的认识及结果运用力度不足。</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jc w:val="both"/>
        <w:textAlignment w:val="auto"/>
        <w:outlineLvl w:val="9"/>
        <w:rPr>
          <w:rFonts w:hint="eastAsia" w:ascii="仿宋" w:hAnsi="仿宋" w:eastAsia="仿宋" w:cs="仿宋"/>
          <w:sz w:val="32"/>
          <w:szCs w:val="32"/>
          <w:lang w:val="zh-CN"/>
        </w:rPr>
      </w:pPr>
      <w:r>
        <w:rPr>
          <w:rFonts w:hint="eastAsia" w:ascii="仿宋" w:hAnsi="仿宋" w:eastAsia="仿宋" w:cs="仿宋"/>
          <w:sz w:val="32"/>
          <w:szCs w:val="32"/>
          <w:lang w:val="zh-CN"/>
        </w:rPr>
        <w:t>（三）改进建议。</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1.加强财务管理，严肃财经纪律。严格执行国家及省市对各项费用开支的相关规定，加强对各项费用开支的审核，严禁超标准、超范围列支，从严控制 “三公”经费等一般性支出，规范财务收支行为，降低行政运行成本，提高财务管理水平。</w:t>
      </w:r>
    </w:p>
    <w:p>
      <w:pPr>
        <w:keepNext w:val="0"/>
        <w:keepLines w:val="0"/>
        <w:pageBreakBefore w:val="0"/>
        <w:widowControl w:val="0"/>
        <w:kinsoku/>
        <w:wordWrap/>
        <w:overflowPunct/>
        <w:topLinePunct w:val="0"/>
        <w:autoSpaceDE/>
        <w:autoSpaceDN/>
        <w:bidi w:val="0"/>
        <w:adjustRightInd/>
        <w:spacing w:line="50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完善绩效评价工作制度。绩效评价工作是检验财政资金使用效益，衡量部门履行职责的执行情况和效率效果的重要手段。单位应该自上而下增强绩效管理责任意识，把绩效自评、绩效管理等工作纳入常态，建立和完善财政支出绩效评价相关制度，包括绩效目标审查制度、项目绩效考核制度、绩效奖惩制度等，以充分调动开展绩效评价工作和参与绩效评价指标体系制定的积极性和责任感。</w:t>
      </w:r>
    </w:p>
    <w:p>
      <w:pPr>
        <w:keepNext w:val="0"/>
        <w:keepLines w:val="0"/>
        <w:pageBreakBefore w:val="0"/>
        <w:widowControl/>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宋体" w:eastAsia="仿宋_GB2312"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color w:val="auto"/>
          <w:highlight w:val="none"/>
          <w:lang w:val="zh-CN"/>
        </w:rPr>
      </w:pPr>
      <w:r>
        <w:rPr>
          <w:rFonts w:hint="eastAsia" w:hAnsi="宋体" w:cs="宋体"/>
          <w:color w:val="auto"/>
          <w:kern w:val="0"/>
          <w:sz w:val="32"/>
          <w:szCs w:val="32"/>
          <w:highlight w:val="none"/>
          <w:shd w:val="clear" w:color="auto" w:fill="FFFFFF"/>
          <w:lang w:val="zh-CN"/>
        </w:rPr>
        <w:t>附件</w:t>
      </w: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方正小标宋简体" w:eastAsia="方正小标宋简体" w:cs="方正小标宋简体"/>
          <w:color w:val="auto"/>
          <w:kern w:val="2"/>
          <w:sz w:val="40"/>
          <w:szCs w:val="40"/>
          <w:highlight w:val="none"/>
          <w:lang w:val="zh-CN" w:eastAsia="zh-CN" w:bidi="ar-SA"/>
        </w:rPr>
      </w:pPr>
      <w:r>
        <w:rPr>
          <w:rFonts w:hint="eastAsia" w:ascii="方正小标宋简体" w:hAnsi="方正小标宋简体" w:eastAsia="方正小标宋简体" w:cs="方正小标宋简体"/>
          <w:color w:val="auto"/>
          <w:kern w:val="2"/>
          <w:sz w:val="40"/>
          <w:szCs w:val="40"/>
          <w:highlight w:val="none"/>
          <w:lang w:val="en-US" w:eastAsia="zh-CN" w:bidi="ar-SA"/>
        </w:rPr>
        <w:t>2022年</w:t>
      </w:r>
      <w:r>
        <w:rPr>
          <w:rFonts w:hint="eastAsia" w:ascii="方正小标宋简体" w:hAnsi="方正小标宋简体" w:eastAsia="方正小标宋简体" w:cs="方正小标宋简体"/>
          <w:color w:val="auto"/>
          <w:kern w:val="2"/>
          <w:sz w:val="40"/>
          <w:szCs w:val="40"/>
          <w:highlight w:val="none"/>
          <w:lang w:val="zh-CN" w:eastAsia="zh-CN" w:bidi="ar-SA"/>
        </w:rPr>
        <w:t>专项预算项目支出绩效自评报告范本</w:t>
      </w:r>
    </w:p>
    <w:p>
      <w:pPr>
        <w:keepNext w:val="0"/>
        <w:keepLines w:val="0"/>
        <w:pageBreakBefore w:val="0"/>
        <w:widowControl w:val="0"/>
        <w:kinsoku/>
        <w:wordWrap/>
        <w:overflowPunct/>
        <w:topLinePunct w:val="0"/>
        <w:autoSpaceDE/>
        <w:autoSpaceDN/>
        <w:bidi w:val="0"/>
        <w:spacing w:line="600" w:lineRule="exact"/>
        <w:ind w:firstLine="883"/>
        <w:jc w:val="center"/>
        <w:textAlignment w:val="auto"/>
        <w:rPr>
          <w:rFonts w:ascii="仿宋_GB2312" w:hAnsi="宋体" w:eastAsia="仿宋_GB2312" w:cs="Times New Roman"/>
          <w:color w:val="auto"/>
          <w:kern w:val="2"/>
          <w:sz w:val="32"/>
          <w:szCs w:val="32"/>
          <w:highlight w:val="none"/>
          <w:lang w:val="zh-CN" w:eastAsia="zh-CN" w:bidi="ar-SA"/>
        </w:rPr>
      </w:pPr>
      <w:r>
        <w:rPr>
          <w:rFonts w:hint="eastAsia" w:ascii="仿宋_GB2312" w:hAnsi="宋体" w:eastAsia="仿宋_GB2312" w:cs="Times New Roman"/>
          <w:color w:val="auto"/>
          <w:kern w:val="2"/>
          <w:sz w:val="32"/>
          <w:szCs w:val="32"/>
          <w:highlight w:val="none"/>
          <w:lang w:val="zh-CN" w:eastAsia="zh-CN" w:bidi="ar-SA"/>
        </w:rPr>
        <w:t>（主管部门自评）</w:t>
      </w:r>
    </w:p>
    <w:p>
      <w:pPr>
        <w:keepNext w:val="0"/>
        <w:keepLines w:val="0"/>
        <w:pageBreakBefore w:val="0"/>
        <w:widowControl w:val="0"/>
        <w:kinsoku/>
        <w:wordWrap/>
        <w:overflowPunct/>
        <w:topLinePunct w:val="0"/>
        <w:autoSpaceDE/>
        <w:autoSpaceDN/>
        <w:bidi w:val="0"/>
        <w:spacing w:line="600" w:lineRule="exact"/>
        <w:ind w:firstLine="640"/>
        <w:jc w:val="center"/>
        <w:textAlignment w:val="auto"/>
        <w:rPr>
          <w:rFonts w:ascii="宋体" w:hAnsi="宋体" w:eastAsia="宋体" w:cs="Times New Roman"/>
          <w:color w:val="auto"/>
          <w:kern w:val="2"/>
          <w:sz w:val="32"/>
          <w:szCs w:val="32"/>
          <w:highlight w:val="none"/>
          <w:lang w:val="zh-CN" w:eastAsia="zh-CN" w:bidi="ar-SA"/>
        </w:rPr>
      </w:pP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lang w:val="zh-CN"/>
        </w:rPr>
      </w:pPr>
      <w:r>
        <w:rPr>
          <w:rFonts w:hint="eastAsia" w:ascii="黑体" w:hAnsi="宋体" w:eastAsia="黑体" w:cs="Times New Roman"/>
          <w:color w:val="auto"/>
          <w:sz w:val="32"/>
          <w:szCs w:val="32"/>
          <w:highlight w:val="none"/>
        </w:rPr>
        <w:t>一、</w:t>
      </w:r>
      <w:r>
        <w:rPr>
          <w:rFonts w:hint="eastAsia" w:ascii="黑体" w:hAnsi="宋体" w:eastAsia="黑体" w:cs="Times New Roman"/>
          <w:color w:val="auto"/>
          <w:sz w:val="32"/>
          <w:szCs w:val="32"/>
          <w:highlight w:val="none"/>
          <w:lang w:val="zh-CN"/>
        </w:rPr>
        <w:t>项目概况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（一）项目基本情况。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1．说明项目主管部门（单位）在该项目管理中的职能。</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2．项目立项、资金申报的依据。</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hint="eastAsia"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3．资金管理办法制定情况，资金支持具体项目的条件、范围与支持方式概况。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4．资金分配的原则及考虑因素。</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（二）项目绩效目标。</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1．项目主要内容。</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2．项目应实现的具体绩效目标，包括目标的量化、细化情况以及项目实施进度计划等。</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3．分析评价申报内容是否与实际相符，申报目标是否合理可行。</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（三）项目自评步骤及方法。</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说明项目绩效自评采用的组织实施步骤及方法。</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二、项目资金申报及使用情况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（一）项目资金申报及批复情况。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说明项目资金申报、批复及预算调整等程序的相关情况。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楷体_GB2312" w:hAnsi="宋体" w:eastAsia="楷体_GB2312" w:cs="Times New Roman"/>
          <w:b/>
          <w:color w:val="auto"/>
          <w:sz w:val="32"/>
          <w:szCs w:val="32"/>
          <w:highlight w:val="none"/>
          <w:lang w:val="zh-CN"/>
        </w:rPr>
        <w:t>（二）资金计划、到位及使用情况（可用表格形式反映）。</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楷体_GB2312" w:hAnsi="宋体" w:eastAsia="楷体_GB2312" w:cs="Times New Roman"/>
          <w:color w:val="auto"/>
          <w:sz w:val="32"/>
          <w:szCs w:val="32"/>
          <w:highlight w:val="none"/>
          <w:lang w:val="zh-CN"/>
        </w:rPr>
        <w:t>1．资金计划。</w:t>
      </w:r>
      <w:r>
        <w:rPr>
          <w:rFonts w:hint="eastAsia" w:ascii="仿宋_GB2312" w:hAnsi="宋体" w:eastAsia="仿宋_GB2312" w:cs="Times New Roman"/>
          <w:color w:val="auto"/>
          <w:sz w:val="32"/>
          <w:szCs w:val="32"/>
          <w:highlight w:val="none"/>
          <w:lang w:val="zh-CN"/>
        </w:rPr>
        <w:t>在说明该项目全省资金计划的基础上，分项目大类或市（州）分别说明各类资金计划情况，包括中央、省、市（州）、县（市、区）财政资金、项目单位自筹、其他渠道资金（包括银行贷款及其他资金等）。</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楷体_GB2312" w:hAnsi="宋体" w:eastAsia="楷体_GB2312" w:cs="Times New Roman"/>
          <w:color w:val="auto"/>
          <w:sz w:val="32"/>
          <w:szCs w:val="32"/>
          <w:highlight w:val="none"/>
          <w:lang w:val="zh-CN"/>
        </w:rPr>
        <w:t>2．资金到位。</w:t>
      </w:r>
      <w:r>
        <w:rPr>
          <w:rFonts w:hint="eastAsia" w:ascii="仿宋_GB2312" w:hAnsi="宋体" w:eastAsia="仿宋_GB2312" w:cs="Times New Roman"/>
          <w:color w:val="auto"/>
          <w:sz w:val="32"/>
          <w:szCs w:val="32"/>
          <w:highlight w:val="none"/>
          <w:lang w:val="zh-CN"/>
        </w:rPr>
        <w:t>汇总统计截止评价时点该项目全省资金到位情况。在此基础上分项目大类或市（州）统计各类资金到位情况，包括中央、省、市（州）、县（市、区）财政资金、项目单位自筹及其他渠道资金（包括银行贷款及其他资金等）。将资金到位情况与资金计划进行比对，并重点围绕资金到位率、到位及时性等进行评价，对未到位或到位不及时的情况作出分析说明。</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楷体_GB2312" w:hAnsi="宋体" w:eastAsia="楷体_GB2312" w:cs="Times New Roman"/>
          <w:color w:val="auto"/>
          <w:sz w:val="32"/>
          <w:szCs w:val="32"/>
          <w:highlight w:val="none"/>
          <w:lang w:val="zh-CN"/>
        </w:rPr>
        <w:t>3．资金使用。</w:t>
      </w:r>
      <w:r>
        <w:rPr>
          <w:rFonts w:hint="eastAsia" w:ascii="仿宋_GB2312" w:hAnsi="宋体" w:eastAsia="仿宋_GB2312" w:cs="Times New Roman"/>
          <w:color w:val="auto"/>
          <w:sz w:val="32"/>
          <w:szCs w:val="32"/>
          <w:highlight w:val="none"/>
          <w:lang w:val="zh-CN"/>
        </w:rPr>
        <w:t>汇总统计截止评价时点该项目全省资金支出情况。在此基础上分项目大类或市（州）统计资金支出情况，并对资金使用的安全性、规范性及有效性进行重点分析，包括资金支付范围、支付标准、支付进度、支付依据等是否合规合法、是否与预算相符，并对自评中发现的相关问题进行分析说明。</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（三）项目财务管理情况。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总体评价各项目实施单位财务管理制度是否健全，是否严格执行财务管理制度，账务处理是否及时，会计核算是否规范等。</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三、项目实施及管理情况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结合项目组织实施管理办法，重点围绕以下内容进行分析评价，并对自评中发现的问题分析说明。</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（一）项目组织架构及实施流程。</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（二）项目管理情况。</w:t>
      </w:r>
      <w:r>
        <w:rPr>
          <w:rFonts w:hint="eastAsia" w:ascii="仿宋_GB2312" w:hAnsi="宋体" w:eastAsia="仿宋_GB2312" w:cs="Times New Roman"/>
          <w:color w:val="auto"/>
          <w:sz w:val="32"/>
          <w:szCs w:val="32"/>
          <w:highlight w:val="none"/>
          <w:lang w:val="zh-CN"/>
        </w:rPr>
        <w:t>结合项目特点，总体评价各项目实施单位执行相关法律法规及项目管理制度等情况，如招投标、政府采购、项目公示制等相关规定。</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楷体_GB2312" w:hAnsi="宋体" w:eastAsia="楷体_GB2312" w:cs="Times New Roman"/>
          <w:b/>
          <w:color w:val="auto"/>
          <w:sz w:val="32"/>
          <w:szCs w:val="32"/>
          <w:highlight w:val="none"/>
          <w:lang w:val="zh-CN"/>
        </w:rPr>
        <w:t>（三）项目监管情况。</w:t>
      </w:r>
      <w:r>
        <w:rPr>
          <w:rFonts w:hint="eastAsia" w:ascii="仿宋_GB2312" w:hAnsi="宋体" w:eastAsia="仿宋_GB2312" w:cs="Times New Roman"/>
          <w:color w:val="auto"/>
          <w:sz w:val="32"/>
          <w:szCs w:val="32"/>
          <w:highlight w:val="none"/>
          <w:lang w:val="zh-CN"/>
        </w:rPr>
        <w:t>说明项目主管部门为加强项目管理所采取的监管手段、监管程序、监管工作开展情况及实现的效果等。</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黑体" w:hAnsi="宋体" w:eastAsia="黑体" w:cs="Times New Roman"/>
          <w:color w:val="auto"/>
          <w:sz w:val="32"/>
          <w:szCs w:val="32"/>
          <w:highlight w:val="none"/>
        </w:rPr>
        <w:t>四、项目绩效情况</w:t>
      </w:r>
      <w:r>
        <w:rPr>
          <w:rFonts w:hint="eastAsia" w:ascii="仿宋_GB2312" w:hAnsi="宋体" w:eastAsia="仿宋_GB2312" w:cs="Times New Roman"/>
          <w:color w:val="auto"/>
          <w:sz w:val="32"/>
          <w:szCs w:val="32"/>
          <w:highlight w:val="none"/>
          <w:lang w:val="zh-CN"/>
        </w:rPr>
        <w:tab/>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（一）项目完成情况。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仿宋_GB2312" w:hAnsi="宋体" w:eastAsia="仿宋_GB2312" w:cs="Times New Roman"/>
          <w:color w:val="auto"/>
          <w:sz w:val="32"/>
          <w:szCs w:val="32"/>
          <w:highlight w:val="none"/>
          <w:lang w:val="zh-CN"/>
        </w:rPr>
        <w:t>包括项目完成数量、质量、时效、成本等情况，资金结余情况，违规记录等，对照项目计划完成目标，对截止评价时点的任务量完成、质量标准、进度计划、成本控制目标的实现程度进行评价，并进行分析说明。</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（二）项目效益情况。</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从项目经济效益、社会效益、生态效益、可持续效益以及服务对象满意度等方面对项目效益进行全面分析评价。</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黑体" w:hAnsi="宋体" w:eastAsia="黑体" w:cs="Times New Roman"/>
          <w:color w:val="auto"/>
          <w:sz w:val="32"/>
          <w:szCs w:val="32"/>
          <w:highlight w:val="none"/>
        </w:rPr>
      </w:pPr>
      <w:r>
        <w:rPr>
          <w:rFonts w:hint="eastAsia" w:ascii="黑体" w:hAnsi="宋体" w:eastAsia="黑体" w:cs="Times New Roman"/>
          <w:color w:val="auto"/>
          <w:sz w:val="32"/>
          <w:szCs w:val="32"/>
          <w:highlight w:val="none"/>
        </w:rPr>
        <w:t>五、评价结论及建议</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（一）评价结论。</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宋体" w:eastAsia="仿宋_GB2312" w:cs="Times New Roman"/>
          <w:color w:val="auto"/>
          <w:sz w:val="32"/>
          <w:szCs w:val="32"/>
          <w:highlight w:val="none"/>
          <w:bdr w:val="single" w:color="auto" w:sz="4" w:space="0"/>
          <w:lang w:val="zh-CN"/>
        </w:rPr>
      </w:pPr>
      <w:r>
        <w:rPr>
          <w:rFonts w:hint="eastAsia" w:ascii="仿宋_GB2312" w:hAnsi="宋体" w:eastAsia="仿宋_GB2312" w:cs="Times New Roman"/>
          <w:color w:val="auto"/>
          <w:sz w:val="32"/>
          <w:szCs w:val="32"/>
          <w:highlight w:val="none"/>
          <w:lang w:val="zh-CN"/>
        </w:rPr>
        <w:t>结合项目自身特点、评价重点及管理办法等要求，围绕专项项目支出绩效评价指标体系对项目进行总体评价。</w:t>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（二）存在的问题。</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结合自评情况，分析存在的问题及原因。</w:t>
      </w:r>
      <w:r>
        <w:rPr>
          <w:rFonts w:hint="eastAsia" w:ascii="仿宋_GB2312" w:hAnsi="宋体" w:eastAsia="仿宋_GB2312" w:cs="Times New Roman"/>
          <w:color w:val="auto"/>
          <w:sz w:val="32"/>
          <w:szCs w:val="32"/>
          <w:highlight w:val="none"/>
          <w:lang w:val="zh-CN"/>
        </w:rPr>
        <w:tab/>
      </w:r>
    </w:p>
    <w:p>
      <w:pPr>
        <w:keepNext w:val="0"/>
        <w:keepLines w:val="0"/>
        <w:pageBreakBefore w:val="0"/>
        <w:kinsoku/>
        <w:wordWrap/>
        <w:overflowPunct/>
        <w:topLinePunct w:val="0"/>
        <w:autoSpaceDE/>
        <w:autoSpaceDN/>
        <w:bidi w:val="0"/>
        <w:adjustRightInd w:val="0"/>
        <w:snapToGrid w:val="0"/>
        <w:spacing w:line="600" w:lineRule="exact"/>
        <w:ind w:firstLine="720"/>
        <w:textAlignment w:val="auto"/>
        <w:rPr>
          <w:rFonts w:ascii="楷体_GB2312" w:hAnsi="宋体" w:eastAsia="楷体_GB2312" w:cs="Times New Roman"/>
          <w:b/>
          <w:color w:val="auto"/>
          <w:sz w:val="32"/>
          <w:szCs w:val="32"/>
          <w:highlight w:val="none"/>
          <w:lang w:val="zh-CN"/>
        </w:rPr>
      </w:pPr>
      <w:r>
        <w:rPr>
          <w:rFonts w:hint="eastAsia" w:ascii="楷体_GB2312" w:hAnsi="宋体" w:eastAsia="楷体_GB2312" w:cs="Times New Roman"/>
          <w:b/>
          <w:color w:val="auto"/>
          <w:sz w:val="32"/>
          <w:szCs w:val="32"/>
          <w:highlight w:val="none"/>
          <w:lang w:val="zh-CN"/>
        </w:rPr>
        <w:t>（三）相关建议。</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ascii="仿宋_GB2312" w:hAnsi="宋体" w:eastAsia="仿宋_GB2312" w:cs="Times New Roman"/>
          <w:color w:val="auto"/>
          <w:sz w:val="32"/>
          <w:szCs w:val="32"/>
          <w:highlight w:val="none"/>
          <w:lang w:val="zh-CN"/>
        </w:rPr>
      </w:pPr>
      <w:r>
        <w:rPr>
          <w:rFonts w:hint="eastAsia" w:ascii="仿宋_GB2312" w:hAnsi="宋体" w:eastAsia="仿宋_GB2312" w:cs="Times New Roman"/>
          <w:color w:val="auto"/>
          <w:sz w:val="32"/>
          <w:szCs w:val="32"/>
          <w:highlight w:val="none"/>
          <w:lang w:val="zh-CN"/>
        </w:rPr>
        <w:t>针对项目自评中发现的问题，提出下一步改进完善的意见及有关政策性建议。</w:t>
      </w: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p>
      <w:pPr>
        <w:pStyle w:val="2"/>
        <w:rPr>
          <w:rFonts w:hint="eastAsia"/>
          <w:color w:val="auto"/>
          <w:highlight w:val="none"/>
          <w:lang w:val="zh-CN"/>
        </w:rPr>
      </w:pPr>
    </w:p>
    <w:tbl>
      <w:tblPr>
        <w:tblStyle w:val="12"/>
        <w:tblpPr w:leftFromText="180" w:rightFromText="180" w:vertAnchor="text" w:horzAnchor="page" w:tblpX="1281" w:tblpY="660"/>
        <w:tblOverlap w:val="never"/>
        <w:tblW w:w="9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77"/>
        <w:gridCol w:w="1142"/>
        <w:gridCol w:w="1635"/>
        <w:gridCol w:w="1189"/>
        <w:gridCol w:w="1224"/>
        <w:gridCol w:w="2410"/>
        <w:gridCol w:w="2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keepNext w:val="0"/>
              <w:keepLines w:val="0"/>
              <w:widowControl/>
              <w:suppressLineNumbers w:val="0"/>
              <w:spacing w:beforeAutospacing="0"/>
              <w:jc w:val="both"/>
              <w:textAlignment w:val="center"/>
              <w:rPr>
                <w:rFonts w:hint="eastAsia" w:ascii="宋体" w:hAnsi="宋体" w:eastAsia="宋体" w:cs="宋体"/>
                <w:b/>
                <w:i w:val="0"/>
                <w:color w:val="auto"/>
                <w:sz w:val="32"/>
                <w:szCs w:val="32"/>
                <w:highlight w:val="none"/>
                <w:u w:val="none"/>
              </w:rPr>
            </w:pPr>
            <w:r>
              <w:rPr>
                <w:rFonts w:hint="eastAsia" w:ascii="宋体" w:hAnsi="宋体" w:eastAsia="宋体" w:cs="宋体"/>
                <w:b/>
                <w:i w:val="0"/>
                <w:color w:val="auto"/>
                <w:sz w:val="32"/>
                <w:szCs w:val="32"/>
                <w:highlight w:val="none"/>
                <w:u w:val="none"/>
                <w:lang w:val="en-US" w:eastAsia="zh-CN"/>
              </w:rPr>
              <w:t>2021年100万元以上（含）特定目标类部门预算项目绩效目标自评</w:t>
            </w:r>
          </w:p>
        </w:tc>
        <w:tc>
          <w:tcPr>
            <w:tcW w:w="234"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auto"/>
                <w:kern w:val="0"/>
                <w:sz w:val="32"/>
                <w:szCs w:val="32"/>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项目预算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执行情况</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right"/>
              <w:textAlignment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其中：</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kern w:val="0"/>
                <w:sz w:val="24"/>
                <w:szCs w:val="24"/>
                <w:highlight w:val="none"/>
                <w:u w:val="none"/>
                <w:lang w:val="en-US" w:eastAsia="zh-CN" w:bidi="ar"/>
              </w:rPr>
            </w:pPr>
            <w:r>
              <w:rPr>
                <w:rFonts w:hint="eastAsia" w:ascii="宋体" w:hAnsi="宋体" w:eastAsia="宋体" w:cs="宋体"/>
                <w:i w:val="0"/>
                <w:color w:val="auto"/>
                <w:kern w:val="0"/>
                <w:sz w:val="24"/>
                <w:szCs w:val="24"/>
                <w:highlight w:val="none"/>
                <w:u w:val="none"/>
                <w:lang w:val="en-US" w:eastAsia="zh-CN" w:bidi="ar"/>
              </w:rPr>
              <w:t>年度总体目标</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auto"/>
                <w:sz w:val="24"/>
                <w:szCs w:val="24"/>
                <w:highlight w:val="none"/>
                <w:u w:val="none"/>
              </w:rPr>
            </w:pPr>
            <w:r>
              <w:rPr>
                <w:rFonts w:hint="eastAsia" w:ascii="宋体" w:hAnsi="宋体" w:eastAsia="宋体" w:cs="宋体"/>
                <w:i w:val="0"/>
                <w:color w:val="auto"/>
                <w:kern w:val="0"/>
                <w:sz w:val="24"/>
                <w:szCs w:val="24"/>
                <w:highlight w:val="none"/>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797"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宋体" w:hAnsi="宋体" w:eastAsia="宋体" w:cs="宋体"/>
                <w:i w:val="0"/>
                <w:color w:val="auto"/>
                <w:sz w:val="24"/>
                <w:szCs w:val="24"/>
                <w:highlight w:val="none"/>
                <w:u w:val="none"/>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highlight w:val="none"/>
                <w:u w:val="none"/>
              </w:rPr>
            </w:pP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top"/>
              <w:rPr>
                <w:rFonts w:hint="eastAsia" w:ascii="宋体" w:hAnsi="宋体" w:eastAsia="宋体" w:cs="宋体"/>
                <w:i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效益</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left="463" w:leftChars="87" w:hanging="280" w:hangingChars="100"/>
              <w:jc w:val="left"/>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auto"/>
                <w:sz w:val="28"/>
                <w:szCs w:val="28"/>
                <w:highlight w:val="none"/>
                <w:u w:val="none"/>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满意</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kern w:val="0"/>
                <w:sz w:val="28"/>
                <w:szCs w:val="28"/>
                <w:highlight w:val="none"/>
                <w:u w:val="none"/>
                <w:lang w:val="en-US" w:eastAsia="zh-CN" w:bidi="ar"/>
              </w:rPr>
            </w:pPr>
            <w:r>
              <w:rPr>
                <w:rFonts w:hint="eastAsia" w:ascii="仿宋_GB2312" w:hAnsi="仿宋_GB2312" w:eastAsia="仿宋_GB2312" w:cs="仿宋_GB2312"/>
                <w:i w:val="0"/>
                <w:color w:val="auto"/>
                <w:kern w:val="0"/>
                <w:sz w:val="28"/>
                <w:szCs w:val="28"/>
                <w:highlight w:val="none"/>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i w:val="0"/>
                <w:color w:val="auto"/>
                <w:kern w:val="0"/>
                <w:sz w:val="28"/>
                <w:szCs w:val="28"/>
                <w:highlight w:val="none"/>
                <w:u w:val="none"/>
                <w:lang w:val="en-US" w:eastAsia="zh-CN"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auto"/>
                <w:sz w:val="28"/>
                <w:szCs w:val="28"/>
                <w:highlight w:val="none"/>
                <w:u w:val="none"/>
              </w:rPr>
            </w:pPr>
          </w:p>
        </w:tc>
      </w:tr>
    </w:tbl>
    <w:p>
      <w:pPr>
        <w:keepNext w:val="0"/>
        <w:keepLines w:val="0"/>
        <w:pageBreakBefore w:val="0"/>
        <w:widowControl/>
        <w:kinsoku/>
        <w:wordWrap/>
        <w:overflowPunct/>
        <w:topLinePunct w:val="0"/>
        <w:autoSpaceDE/>
        <w:autoSpaceDN/>
        <w:bidi w:val="0"/>
        <w:adjustRightInd w:val="0"/>
        <w:snapToGrid w:val="0"/>
        <w:spacing w:afterAutospacing="0" w:line="580" w:lineRule="exact"/>
        <w:ind w:firstLine="640" w:firstLineChars="200"/>
        <w:contextualSpacing/>
        <w:jc w:val="left"/>
        <w:textAlignment w:val="auto"/>
        <w:rPr>
          <w:rFonts w:hint="eastAsia" w:ascii="仿宋_GB2312" w:hAnsi="宋体" w:eastAsia="仿宋_GB2312" w:cs="宋体"/>
          <w:b w:val="0"/>
          <w:bCs w:val="0"/>
          <w:color w:val="auto"/>
          <w:kern w:val="0"/>
          <w:sz w:val="32"/>
          <w:szCs w:val="32"/>
          <w:highlight w:val="none"/>
          <w:shd w:val="clear" w:color="auto" w:fill="FFFFFF"/>
          <w:lang w:val="zh-CN"/>
        </w:rPr>
      </w:pPr>
      <w:r>
        <w:rPr>
          <w:rFonts w:hint="eastAsia" w:ascii="仿宋_GB2312" w:hAnsi="宋体" w:eastAsia="仿宋_GB2312" w:cs="宋体"/>
          <w:b w:val="0"/>
          <w:bCs w:val="0"/>
          <w:color w:val="auto"/>
          <w:kern w:val="0"/>
          <w:sz w:val="32"/>
          <w:szCs w:val="32"/>
          <w:highlight w:val="none"/>
          <w:shd w:val="clear" w:color="auto" w:fill="FFFFFF"/>
          <w:lang w:val="zh-CN"/>
        </w:rPr>
        <w:t>附表：</w:t>
      </w:r>
    </w:p>
    <w:p>
      <w:pPr>
        <w:widowControl/>
        <w:adjustRightInd w:val="0"/>
        <w:snapToGrid w:val="0"/>
        <w:spacing w:line="580" w:lineRule="exact"/>
        <w:contextualSpacing/>
        <w:jc w:val="left"/>
        <w:rPr>
          <w:color w:val="auto"/>
          <w:highlight w:val="none"/>
        </w:rPr>
      </w:pPr>
      <w:r>
        <w:rPr>
          <w:rFonts w:hint="eastAsia" w:ascii="仿宋_GB2312" w:hAnsi="宋体" w:eastAsia="仿宋_GB2312" w:cs="宋体"/>
          <w:color w:val="auto"/>
          <w:kern w:val="0"/>
          <w:sz w:val="32"/>
          <w:szCs w:val="32"/>
          <w:highlight w:val="none"/>
          <w:shd w:val="clear" w:color="auto" w:fill="FFFFFF"/>
          <w:lang w:val="en-US" w:eastAsia="zh-CN"/>
        </w:rPr>
        <w:t>（注：有两个及以上100万元以上（含）特定目标类部门预算项目的，需分别开展绩效目标自评并填写附表）</w:t>
      </w:r>
    </w:p>
    <w:p>
      <w:pPr>
        <w:spacing w:line="580" w:lineRule="exact"/>
        <w:rPr>
          <w:rStyle w:val="24"/>
          <w:rFonts w:ascii="黑体" w:hAnsi="黑体" w:eastAsia="黑体"/>
          <w:b w:val="0"/>
          <w:color w:val="auto"/>
          <w:highlight w:val="none"/>
        </w:rPr>
      </w:pPr>
    </w:p>
    <w:p>
      <w:pPr>
        <w:widowControl/>
        <w:jc w:val="left"/>
        <w:rPr>
          <w:rStyle w:val="24"/>
          <w:rFonts w:ascii="黑体" w:hAnsi="黑体" w:eastAsia="黑体"/>
          <w:b w:val="0"/>
          <w:color w:val="auto"/>
          <w:highlight w:val="none"/>
        </w:rPr>
      </w:pPr>
      <w:r>
        <w:rPr>
          <w:rStyle w:val="24"/>
          <w:rFonts w:ascii="黑体" w:hAnsi="黑体" w:eastAsia="黑体"/>
          <w:b w:val="0"/>
          <w:color w:val="auto"/>
          <w:highlight w:val="none"/>
        </w:rPr>
        <w:br w:type="page"/>
      </w:r>
    </w:p>
    <w:p>
      <w:pPr>
        <w:spacing w:line="600" w:lineRule="exact"/>
        <w:jc w:val="center"/>
        <w:outlineLvl w:val="0"/>
        <w:rPr>
          <w:rFonts w:hint="eastAsia" w:ascii="仿宋" w:hAnsi="仿宋" w:eastAsia="仿宋"/>
          <w:b w:val="0"/>
          <w:color w:val="auto"/>
          <w:highlight w:val="none"/>
        </w:rPr>
      </w:pPr>
      <w:bookmarkStart w:id="64" w:name="_Toc15396618"/>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五部分 附表</w:t>
      </w:r>
      <w:bookmarkEnd w:id="61"/>
      <w:bookmarkEnd w:id="64"/>
      <w:bookmarkStart w:id="65" w:name="_Toc15396619"/>
    </w:p>
    <w:p>
      <w:pPr>
        <w:pStyle w:val="4"/>
        <w:rPr>
          <w:rFonts w:ascii="仿宋" w:hAnsi="仿宋" w:eastAsia="仿宋"/>
          <w:color w:val="auto"/>
          <w:highlight w:val="none"/>
        </w:rPr>
      </w:pPr>
      <w:r>
        <w:rPr>
          <w:rFonts w:hint="eastAsia" w:ascii="仿宋" w:hAnsi="仿宋" w:eastAsia="仿宋"/>
          <w:b w:val="0"/>
          <w:color w:val="auto"/>
          <w:highlight w:val="none"/>
        </w:rPr>
        <w:t>一、收</w:t>
      </w:r>
      <w:r>
        <w:rPr>
          <w:rStyle w:val="25"/>
          <w:rFonts w:hint="eastAsia" w:ascii="仿宋" w:hAnsi="仿宋" w:eastAsia="仿宋"/>
          <w:b w:val="0"/>
          <w:bCs w:val="0"/>
          <w:color w:val="auto"/>
          <w:highlight w:val="none"/>
        </w:rPr>
        <w:t>入支出决算总表</w:t>
      </w:r>
      <w:bookmarkEnd w:id="65"/>
    </w:p>
    <w:p>
      <w:pPr>
        <w:pStyle w:val="4"/>
        <w:rPr>
          <w:rFonts w:ascii="仿宋" w:hAnsi="仿宋" w:eastAsia="仿宋"/>
          <w:color w:val="auto"/>
          <w:highlight w:val="none"/>
        </w:rPr>
      </w:pPr>
      <w:bookmarkStart w:id="66" w:name="_Toc15396620"/>
      <w:r>
        <w:rPr>
          <w:rFonts w:hint="eastAsia" w:ascii="仿宋" w:hAnsi="仿宋" w:eastAsia="仿宋"/>
          <w:b w:val="0"/>
          <w:color w:val="auto"/>
          <w:highlight w:val="none"/>
        </w:rPr>
        <w:t>二、收</w:t>
      </w:r>
      <w:r>
        <w:rPr>
          <w:rStyle w:val="25"/>
          <w:rFonts w:hint="eastAsia" w:ascii="仿宋" w:hAnsi="仿宋" w:eastAsia="仿宋"/>
          <w:b w:val="0"/>
          <w:bCs w:val="0"/>
          <w:color w:val="auto"/>
          <w:highlight w:val="none"/>
        </w:rPr>
        <w:t>入决算表</w:t>
      </w:r>
      <w:bookmarkEnd w:id="66"/>
    </w:p>
    <w:p>
      <w:pPr>
        <w:pStyle w:val="4"/>
        <w:rPr>
          <w:rFonts w:ascii="仿宋" w:hAnsi="仿宋" w:eastAsia="仿宋"/>
          <w:color w:val="auto"/>
          <w:highlight w:val="none"/>
        </w:rPr>
      </w:pPr>
      <w:bookmarkStart w:id="67" w:name="_Toc15396621"/>
      <w:r>
        <w:rPr>
          <w:rStyle w:val="25"/>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5"/>
          <w:rFonts w:hint="eastAsia" w:ascii="仿宋" w:hAnsi="仿宋" w:eastAsia="仿宋"/>
          <w:b w:val="0"/>
          <w:bCs w:val="0"/>
          <w:color w:val="auto"/>
          <w:highlight w:val="none"/>
        </w:rPr>
        <w:t>出决算表</w:t>
      </w:r>
      <w:bookmarkEnd w:id="67"/>
    </w:p>
    <w:p>
      <w:pPr>
        <w:pStyle w:val="4"/>
        <w:rPr>
          <w:rFonts w:ascii="仿宋" w:hAnsi="仿宋" w:eastAsia="仿宋"/>
          <w:b w:val="0"/>
          <w:color w:val="auto"/>
          <w:highlight w:val="none"/>
        </w:rPr>
      </w:pPr>
      <w:bookmarkStart w:id="68" w:name="_Toc15396622"/>
      <w:r>
        <w:rPr>
          <w:rStyle w:val="25"/>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政拨款收入支出决算总表</w:t>
      </w:r>
      <w:bookmarkEnd w:id="68"/>
    </w:p>
    <w:p>
      <w:pPr>
        <w:pStyle w:val="4"/>
        <w:rPr>
          <w:rStyle w:val="25"/>
          <w:rFonts w:ascii="仿宋" w:hAnsi="仿宋" w:eastAsia="仿宋"/>
          <w:b w:val="0"/>
          <w:bCs w:val="0"/>
          <w:color w:val="auto"/>
          <w:highlight w:val="none"/>
        </w:rPr>
      </w:pPr>
      <w:bookmarkStart w:id="69" w:name="_Toc15396623"/>
      <w:r>
        <w:rPr>
          <w:rStyle w:val="25"/>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政拨款支出决算明细表</w:t>
      </w:r>
      <w:bookmarkEnd w:id="69"/>
      <w:bookmarkStart w:id="70" w:name="_Toc15396624"/>
    </w:p>
    <w:p>
      <w:pPr>
        <w:pStyle w:val="4"/>
        <w:rPr>
          <w:rFonts w:ascii="仿宋" w:hAnsi="仿宋" w:eastAsia="仿宋"/>
          <w:color w:val="auto"/>
          <w:highlight w:val="none"/>
        </w:rPr>
      </w:pPr>
      <w:r>
        <w:rPr>
          <w:rStyle w:val="25"/>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般公共预算财政拨款支出决算表</w:t>
      </w:r>
      <w:bookmarkEnd w:id="70"/>
    </w:p>
    <w:p>
      <w:pPr>
        <w:pStyle w:val="4"/>
        <w:rPr>
          <w:rFonts w:ascii="仿宋" w:hAnsi="仿宋" w:eastAsia="仿宋"/>
          <w:color w:val="auto"/>
          <w:highlight w:val="none"/>
        </w:rPr>
      </w:pPr>
      <w:bookmarkStart w:id="71" w:name="_Toc15396625"/>
      <w:r>
        <w:rPr>
          <w:rStyle w:val="25"/>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般公共预算财政拨款支出决算明细表</w:t>
      </w:r>
      <w:bookmarkEnd w:id="71"/>
    </w:p>
    <w:p>
      <w:pPr>
        <w:pStyle w:val="4"/>
        <w:rPr>
          <w:rFonts w:ascii="仿宋" w:hAnsi="仿宋" w:eastAsia="仿宋"/>
          <w:color w:val="auto"/>
          <w:highlight w:val="none"/>
        </w:rPr>
      </w:pPr>
      <w:bookmarkStart w:id="72" w:name="_Toc15396626"/>
      <w:r>
        <w:rPr>
          <w:rStyle w:val="25"/>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般公共预算财政拨款基本支出决算表</w:t>
      </w:r>
      <w:bookmarkEnd w:id="72"/>
    </w:p>
    <w:p>
      <w:pPr>
        <w:pStyle w:val="4"/>
        <w:rPr>
          <w:rFonts w:ascii="仿宋" w:hAnsi="仿宋" w:eastAsia="仿宋"/>
          <w:color w:val="auto"/>
          <w:highlight w:val="none"/>
        </w:rPr>
      </w:pPr>
      <w:bookmarkStart w:id="73" w:name="_Toc15396627"/>
      <w:r>
        <w:rPr>
          <w:rStyle w:val="25"/>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般公共预算财政拨款项目支出决算表</w:t>
      </w:r>
      <w:bookmarkEnd w:id="73"/>
    </w:p>
    <w:p>
      <w:pPr>
        <w:pStyle w:val="4"/>
        <w:rPr>
          <w:rFonts w:ascii="仿宋" w:hAnsi="仿宋" w:eastAsia="仿宋"/>
          <w:color w:val="auto"/>
          <w:highlight w:val="none"/>
        </w:rPr>
      </w:pPr>
      <w:bookmarkStart w:id="74" w:name="_Toc15396628"/>
      <w:r>
        <w:rPr>
          <w:rStyle w:val="25"/>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般公共预算财政拨款“三公”经费支出决算表</w:t>
      </w:r>
      <w:bookmarkEnd w:id="74"/>
    </w:p>
    <w:p>
      <w:pPr>
        <w:pStyle w:val="4"/>
        <w:rPr>
          <w:rFonts w:ascii="仿宋" w:hAnsi="仿宋" w:eastAsia="仿宋"/>
          <w:color w:val="auto"/>
          <w:highlight w:val="none"/>
        </w:rPr>
      </w:pPr>
      <w:bookmarkStart w:id="75" w:name="_Toc15396629"/>
      <w:r>
        <w:rPr>
          <w:rStyle w:val="25"/>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府性基金预算财政拨款收入支出决算表</w:t>
      </w:r>
      <w:bookmarkEnd w:id="75"/>
    </w:p>
    <w:p>
      <w:pPr>
        <w:pStyle w:val="4"/>
        <w:rPr>
          <w:rFonts w:ascii="仿宋" w:hAnsi="仿宋" w:eastAsia="仿宋"/>
          <w:color w:val="auto"/>
          <w:highlight w:val="none"/>
        </w:rPr>
      </w:pPr>
      <w:bookmarkStart w:id="76" w:name="_Toc15396630"/>
      <w:r>
        <w:rPr>
          <w:rStyle w:val="25"/>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府性基金预算财政拨款“三公”经费支出决算表</w:t>
      </w:r>
      <w:bookmarkEnd w:id="76"/>
    </w:p>
    <w:p>
      <w:pPr>
        <w:pStyle w:val="4"/>
        <w:rPr>
          <w:rStyle w:val="25"/>
          <w:rFonts w:hint="eastAsia" w:ascii="仿宋" w:hAnsi="仿宋" w:eastAsia="仿宋"/>
          <w:b w:val="0"/>
          <w:bCs w:val="0"/>
          <w:color w:val="auto"/>
          <w:highlight w:val="none"/>
        </w:rPr>
      </w:pPr>
      <w:bookmarkStart w:id="77" w:name="_Toc15396631"/>
      <w:r>
        <w:rPr>
          <w:rStyle w:val="25"/>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5"/>
          <w:rFonts w:hint="eastAsia" w:ascii="仿宋" w:hAnsi="仿宋" w:eastAsia="仿宋"/>
          <w:b w:val="0"/>
          <w:bCs w:val="0"/>
          <w:color w:val="auto"/>
          <w:highlight w:val="none"/>
        </w:rPr>
        <w:t>有资本经营预算</w:t>
      </w:r>
      <w:r>
        <w:rPr>
          <w:rStyle w:val="25"/>
          <w:rFonts w:hint="eastAsia" w:ascii="仿宋" w:hAnsi="仿宋" w:eastAsia="仿宋"/>
          <w:b w:val="0"/>
          <w:bCs w:val="0"/>
          <w:color w:val="auto"/>
          <w:highlight w:val="none"/>
          <w:lang w:eastAsia="zh-CN"/>
        </w:rPr>
        <w:t>财政拨款收入</w:t>
      </w:r>
      <w:r>
        <w:rPr>
          <w:rStyle w:val="25"/>
          <w:rFonts w:hint="eastAsia" w:ascii="仿宋" w:hAnsi="仿宋" w:eastAsia="仿宋"/>
          <w:b w:val="0"/>
          <w:bCs w:val="0"/>
          <w:color w:val="auto"/>
          <w:highlight w:val="none"/>
        </w:rPr>
        <w:t>支出决算表</w:t>
      </w:r>
      <w:bookmarkEnd w:id="77"/>
    </w:p>
    <w:p>
      <w:pPr>
        <w:rPr>
          <w:rFonts w:hint="eastAsia" w:eastAsia="仿宋"/>
          <w:color w:val="auto"/>
          <w:highlight w:val="none"/>
          <w:lang w:eastAsia="zh-CN"/>
        </w:rPr>
      </w:pPr>
      <w:r>
        <w:rPr>
          <w:rStyle w:val="25"/>
          <w:rFonts w:hint="eastAsia" w:ascii="仿宋" w:hAnsi="仿宋" w:eastAsia="仿宋"/>
          <w:b w:val="0"/>
          <w:bCs w:val="0"/>
          <w:color w:val="auto"/>
          <w:highlight w:val="none"/>
          <w:lang w:eastAsia="zh-CN"/>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1M2RmZDFlNTVjZjFiNDE1MTI4NTU3MDY1ODI3Y2E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261BD"/>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66E0107"/>
    <w:rsid w:val="07996F6E"/>
    <w:rsid w:val="0A2032A3"/>
    <w:rsid w:val="101860EC"/>
    <w:rsid w:val="10C055FF"/>
    <w:rsid w:val="118107EC"/>
    <w:rsid w:val="13D50BC4"/>
    <w:rsid w:val="16BB723D"/>
    <w:rsid w:val="184219AC"/>
    <w:rsid w:val="1BE8440E"/>
    <w:rsid w:val="1D155CEE"/>
    <w:rsid w:val="1F622C65"/>
    <w:rsid w:val="23860B96"/>
    <w:rsid w:val="240371BF"/>
    <w:rsid w:val="29FD04D3"/>
    <w:rsid w:val="2C8A61B5"/>
    <w:rsid w:val="2DF04E50"/>
    <w:rsid w:val="319F7F4E"/>
    <w:rsid w:val="36AA5135"/>
    <w:rsid w:val="37E16F03"/>
    <w:rsid w:val="3D98207C"/>
    <w:rsid w:val="44E268DA"/>
    <w:rsid w:val="4A627F82"/>
    <w:rsid w:val="4B4F25DA"/>
    <w:rsid w:val="4BE068DB"/>
    <w:rsid w:val="4D577224"/>
    <w:rsid w:val="4EAB630A"/>
    <w:rsid w:val="4ECE2238"/>
    <w:rsid w:val="51185903"/>
    <w:rsid w:val="5223106A"/>
    <w:rsid w:val="54BE14D6"/>
    <w:rsid w:val="574823F8"/>
    <w:rsid w:val="576460F1"/>
    <w:rsid w:val="5AF92295"/>
    <w:rsid w:val="5CD71FC4"/>
    <w:rsid w:val="697B12D1"/>
    <w:rsid w:val="6C4A05C8"/>
    <w:rsid w:val="6E7E3605"/>
    <w:rsid w:val="6FF5CC65"/>
    <w:rsid w:val="715C0E4B"/>
    <w:rsid w:val="72734D90"/>
    <w:rsid w:val="73AD73D5"/>
    <w:rsid w:val="73B6EB34"/>
    <w:rsid w:val="79EE5BA4"/>
    <w:rsid w:val="7A894339"/>
    <w:rsid w:val="7EEF11D3"/>
    <w:rsid w:val="7FA30C79"/>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0">
    <w:name w:val="Body text|1"/>
    <w:basedOn w:val="1"/>
    <w:qFormat/>
    <w:uiPriority w:val="0"/>
    <w:pPr>
      <w:widowControl w:val="0"/>
      <w:shd w:val="clear" w:color="auto" w:fill="auto"/>
      <w:spacing w:line="396"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39</Pages>
  <Words>16654</Words>
  <Characters>18233</Characters>
  <Lines>61</Lines>
  <Paragraphs>17</Paragraphs>
  <TotalTime>1</TotalTime>
  <ScaleCrop>false</ScaleCrop>
  <LinksUpToDate>false</LinksUpToDate>
  <CharactersWithSpaces>18286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dfe</cp:lastModifiedBy>
  <cp:lastPrinted>2022-08-08T09:11:00Z</cp:lastPrinted>
  <dcterms:modified xsi:type="dcterms:W3CDTF">2022-10-14T02:38:44Z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1919D62FD7BE42C8AE710E1274EB6048</vt:lpwstr>
  </property>
</Properties>
</file>